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08D" w:rsidRPr="000010A9" w:rsidRDefault="008D60DA" w:rsidP="002830CB">
      <w:pPr>
        <w:tabs>
          <w:tab w:val="left" w:pos="851"/>
          <w:tab w:val="left" w:pos="4678"/>
        </w:tabs>
        <w:spacing w:line="280" w:lineRule="atLeast"/>
        <w:rPr>
          <w:b/>
        </w:rPr>
      </w:pPr>
      <w:r>
        <w:rPr>
          <w:b/>
          <w:i/>
        </w:rPr>
        <w:t>Recipient</w:t>
      </w:r>
      <w:r w:rsidR="00D01B8D" w:rsidRPr="000010A9">
        <w:rPr>
          <w:b/>
        </w:rPr>
        <w:t>:</w:t>
      </w:r>
      <w:r w:rsidR="00D01B8D" w:rsidRPr="000010A9">
        <w:rPr>
          <w:b/>
        </w:rPr>
        <w:tab/>
      </w:r>
      <w:r w:rsidR="00D01B8D" w:rsidRPr="000010A9">
        <w:rPr>
          <w:b/>
          <w:i/>
        </w:rPr>
        <w:t>Sender</w:t>
      </w:r>
      <w:r w:rsidR="000010A9" w:rsidRPr="000010A9">
        <w:rPr>
          <w:b/>
          <w:i/>
        </w:rPr>
        <w:t xml:space="preserve"> (Ordering company)</w:t>
      </w:r>
      <w:r w:rsidR="006E7B15" w:rsidRPr="000010A9">
        <w:rPr>
          <w:b/>
        </w:rPr>
        <w:t>:</w:t>
      </w:r>
    </w:p>
    <w:tbl>
      <w:tblPr>
        <w:tblStyle w:val="Tabellenraster"/>
        <w:tblW w:w="0" w:type="auto"/>
        <w:tblLook w:val="04A0" w:firstRow="1" w:lastRow="0" w:firstColumn="1" w:lastColumn="0" w:noHBand="0" w:noVBand="1"/>
      </w:tblPr>
      <w:tblGrid>
        <w:gridCol w:w="4606"/>
        <w:gridCol w:w="4606"/>
      </w:tblGrid>
      <w:tr w:rsidR="00E5508D" w:rsidTr="001A3966">
        <w:tc>
          <w:tcPr>
            <w:tcW w:w="4606" w:type="dxa"/>
          </w:tcPr>
          <w:p w:rsidR="00E5508D" w:rsidRDefault="00576D4C" w:rsidP="0018079F">
            <w:pPr>
              <w:tabs>
                <w:tab w:val="left" w:pos="851"/>
              </w:tabs>
              <w:spacing w:before="80" w:after="80"/>
              <w:rPr>
                <w:lang w:val="en-US"/>
              </w:rPr>
            </w:pPr>
            <w:r>
              <w:rPr>
                <w:lang w:val="en-US"/>
              </w:rPr>
              <w:t>FCS Frankfurt Cargo Services GmbH</w:t>
            </w:r>
          </w:p>
        </w:tc>
        <w:tc>
          <w:tcPr>
            <w:tcW w:w="4606" w:type="dxa"/>
            <w:vAlign w:val="center"/>
          </w:tcPr>
          <w:p w:rsidR="00E5508D" w:rsidRDefault="00CA6688" w:rsidP="0018079F">
            <w:pPr>
              <w:tabs>
                <w:tab w:val="left" w:pos="851"/>
              </w:tabs>
              <w:spacing w:before="80" w:after="80"/>
              <w:rPr>
                <w:lang w:val="en-US"/>
              </w:rPr>
            </w:pPr>
            <w:r>
              <w:rPr>
                <w:b/>
                <w:lang w:val="en-US"/>
              </w:rPr>
              <w:fldChar w:fldCharType="begin">
                <w:ffData>
                  <w:name w:val="Text1"/>
                  <w:enabled/>
                  <w:calcOnExit w:val="0"/>
                  <w:textInput/>
                </w:ffData>
              </w:fldChar>
            </w:r>
            <w:r w:rsidR="001A3966">
              <w:rPr>
                <w:b/>
                <w:lang w:val="en-US"/>
              </w:rPr>
              <w:instrText xml:space="preserve"> FORMTEXT </w:instrText>
            </w:r>
            <w:r>
              <w:rPr>
                <w:b/>
                <w:lang w:val="en-US"/>
              </w:rPr>
            </w:r>
            <w:r>
              <w:rPr>
                <w:b/>
                <w:lang w:val="en-US"/>
              </w:rPr>
              <w:fldChar w:fldCharType="separate"/>
            </w:r>
            <w:r w:rsidR="001A3966">
              <w:rPr>
                <w:b/>
                <w:noProof/>
                <w:lang w:val="en-US"/>
              </w:rPr>
              <w:t> </w:t>
            </w:r>
            <w:r w:rsidR="001A3966">
              <w:rPr>
                <w:b/>
                <w:noProof/>
                <w:lang w:val="en-US"/>
              </w:rPr>
              <w:t> </w:t>
            </w:r>
            <w:r w:rsidR="001A3966">
              <w:rPr>
                <w:b/>
                <w:noProof/>
                <w:lang w:val="en-US"/>
              </w:rPr>
              <w:t> </w:t>
            </w:r>
            <w:r w:rsidR="001A3966">
              <w:rPr>
                <w:b/>
                <w:noProof/>
                <w:lang w:val="en-US"/>
              </w:rPr>
              <w:t> </w:t>
            </w:r>
            <w:r w:rsidR="001A3966">
              <w:rPr>
                <w:b/>
                <w:noProof/>
                <w:lang w:val="en-US"/>
              </w:rPr>
              <w:t> </w:t>
            </w:r>
            <w:r>
              <w:rPr>
                <w:b/>
                <w:lang w:val="en-US"/>
              </w:rPr>
              <w:fldChar w:fldCharType="end"/>
            </w:r>
          </w:p>
        </w:tc>
      </w:tr>
      <w:tr w:rsidR="00E5508D" w:rsidTr="001A3966">
        <w:tc>
          <w:tcPr>
            <w:tcW w:w="4606" w:type="dxa"/>
          </w:tcPr>
          <w:p w:rsidR="00E5508D" w:rsidRDefault="002830CB" w:rsidP="0018079F">
            <w:pPr>
              <w:tabs>
                <w:tab w:val="left" w:pos="851"/>
              </w:tabs>
              <w:spacing w:before="80" w:after="80"/>
              <w:rPr>
                <w:lang w:val="en-US"/>
              </w:rPr>
            </w:pPr>
            <w:r>
              <w:rPr>
                <w:lang w:val="en-US"/>
              </w:rPr>
              <w:t>CargoCity Süd, Gebäude 532</w:t>
            </w:r>
          </w:p>
        </w:tc>
        <w:tc>
          <w:tcPr>
            <w:tcW w:w="4606" w:type="dxa"/>
            <w:vAlign w:val="center"/>
          </w:tcPr>
          <w:p w:rsidR="00E5508D" w:rsidRDefault="00CA6688" w:rsidP="0018079F">
            <w:pPr>
              <w:tabs>
                <w:tab w:val="left" w:pos="851"/>
              </w:tabs>
              <w:spacing w:before="80" w:after="80"/>
              <w:rPr>
                <w:lang w:val="en-US"/>
              </w:rPr>
            </w:pPr>
            <w:r>
              <w:rPr>
                <w:b/>
                <w:lang w:val="en-US"/>
              </w:rPr>
              <w:fldChar w:fldCharType="begin">
                <w:ffData>
                  <w:name w:val="Text1"/>
                  <w:enabled/>
                  <w:calcOnExit w:val="0"/>
                  <w:textInput/>
                </w:ffData>
              </w:fldChar>
            </w:r>
            <w:r w:rsidR="001A3966">
              <w:rPr>
                <w:b/>
                <w:lang w:val="en-US"/>
              </w:rPr>
              <w:instrText xml:space="preserve"> FORMTEXT </w:instrText>
            </w:r>
            <w:r>
              <w:rPr>
                <w:b/>
                <w:lang w:val="en-US"/>
              </w:rPr>
            </w:r>
            <w:r>
              <w:rPr>
                <w:b/>
                <w:lang w:val="en-US"/>
              </w:rPr>
              <w:fldChar w:fldCharType="separate"/>
            </w:r>
            <w:r w:rsidR="001A3966">
              <w:rPr>
                <w:b/>
                <w:noProof/>
                <w:lang w:val="en-US"/>
              </w:rPr>
              <w:t> </w:t>
            </w:r>
            <w:r w:rsidR="001A3966">
              <w:rPr>
                <w:b/>
                <w:noProof/>
                <w:lang w:val="en-US"/>
              </w:rPr>
              <w:t> </w:t>
            </w:r>
            <w:r w:rsidR="001A3966">
              <w:rPr>
                <w:b/>
                <w:noProof/>
                <w:lang w:val="en-US"/>
              </w:rPr>
              <w:t> </w:t>
            </w:r>
            <w:r w:rsidR="001A3966">
              <w:rPr>
                <w:b/>
                <w:noProof/>
                <w:lang w:val="en-US"/>
              </w:rPr>
              <w:t> </w:t>
            </w:r>
            <w:r w:rsidR="001A3966">
              <w:rPr>
                <w:b/>
                <w:noProof/>
                <w:lang w:val="en-US"/>
              </w:rPr>
              <w:t> </w:t>
            </w:r>
            <w:r>
              <w:rPr>
                <w:b/>
                <w:lang w:val="en-US"/>
              </w:rPr>
              <w:fldChar w:fldCharType="end"/>
            </w:r>
          </w:p>
        </w:tc>
      </w:tr>
      <w:tr w:rsidR="00E5508D" w:rsidTr="001A3966">
        <w:tc>
          <w:tcPr>
            <w:tcW w:w="4606" w:type="dxa"/>
          </w:tcPr>
          <w:p w:rsidR="00E5508D" w:rsidRDefault="002830CB" w:rsidP="0018079F">
            <w:pPr>
              <w:tabs>
                <w:tab w:val="left" w:pos="851"/>
              </w:tabs>
              <w:spacing w:before="80" w:after="80"/>
              <w:rPr>
                <w:lang w:val="en-US"/>
              </w:rPr>
            </w:pPr>
            <w:r>
              <w:rPr>
                <w:lang w:val="en-US"/>
              </w:rPr>
              <w:t xml:space="preserve">60549 Frankfurt / Germany </w:t>
            </w:r>
          </w:p>
        </w:tc>
        <w:tc>
          <w:tcPr>
            <w:tcW w:w="4606" w:type="dxa"/>
            <w:vAlign w:val="center"/>
          </w:tcPr>
          <w:p w:rsidR="00E5508D" w:rsidRDefault="00CA6688" w:rsidP="0018079F">
            <w:pPr>
              <w:tabs>
                <w:tab w:val="left" w:pos="851"/>
              </w:tabs>
              <w:spacing w:before="80" w:after="80"/>
              <w:rPr>
                <w:lang w:val="en-US"/>
              </w:rPr>
            </w:pPr>
            <w:r>
              <w:rPr>
                <w:b/>
                <w:lang w:val="en-US"/>
              </w:rPr>
              <w:fldChar w:fldCharType="begin">
                <w:ffData>
                  <w:name w:val="Text1"/>
                  <w:enabled/>
                  <w:calcOnExit w:val="0"/>
                  <w:textInput/>
                </w:ffData>
              </w:fldChar>
            </w:r>
            <w:r w:rsidR="001A3966">
              <w:rPr>
                <w:b/>
                <w:lang w:val="en-US"/>
              </w:rPr>
              <w:instrText xml:space="preserve"> FORMTEXT </w:instrText>
            </w:r>
            <w:r>
              <w:rPr>
                <w:b/>
                <w:lang w:val="en-US"/>
              </w:rPr>
            </w:r>
            <w:r>
              <w:rPr>
                <w:b/>
                <w:lang w:val="en-US"/>
              </w:rPr>
              <w:fldChar w:fldCharType="separate"/>
            </w:r>
            <w:r w:rsidR="001A3966">
              <w:rPr>
                <w:b/>
                <w:noProof/>
                <w:lang w:val="en-US"/>
              </w:rPr>
              <w:t> </w:t>
            </w:r>
            <w:r w:rsidR="001A3966">
              <w:rPr>
                <w:b/>
                <w:noProof/>
                <w:lang w:val="en-US"/>
              </w:rPr>
              <w:t> </w:t>
            </w:r>
            <w:r w:rsidR="001A3966">
              <w:rPr>
                <w:b/>
                <w:noProof/>
                <w:lang w:val="en-US"/>
              </w:rPr>
              <w:t> </w:t>
            </w:r>
            <w:r w:rsidR="001A3966">
              <w:rPr>
                <w:b/>
                <w:noProof/>
                <w:lang w:val="en-US"/>
              </w:rPr>
              <w:t> </w:t>
            </w:r>
            <w:r w:rsidR="001A3966">
              <w:rPr>
                <w:b/>
                <w:noProof/>
                <w:lang w:val="en-US"/>
              </w:rPr>
              <w:t> </w:t>
            </w:r>
            <w:r>
              <w:rPr>
                <w:b/>
                <w:lang w:val="en-US"/>
              </w:rPr>
              <w:fldChar w:fldCharType="end"/>
            </w:r>
          </w:p>
        </w:tc>
      </w:tr>
      <w:tr w:rsidR="00E5508D" w:rsidTr="001A3966">
        <w:tc>
          <w:tcPr>
            <w:tcW w:w="4606" w:type="dxa"/>
          </w:tcPr>
          <w:p w:rsidR="00E5508D" w:rsidRDefault="002830CB" w:rsidP="0018079F">
            <w:pPr>
              <w:tabs>
                <w:tab w:val="left" w:pos="851"/>
              </w:tabs>
              <w:spacing w:before="80" w:after="80"/>
              <w:rPr>
                <w:lang w:val="en-US"/>
              </w:rPr>
            </w:pPr>
            <w:r>
              <w:rPr>
                <w:lang w:val="en-US"/>
              </w:rPr>
              <w:t xml:space="preserve">Telefon </w:t>
            </w:r>
            <w:r w:rsidR="00476780">
              <w:rPr>
                <w:lang w:val="en-US"/>
              </w:rPr>
              <w:t>+49 (</w:t>
            </w:r>
            <w:r>
              <w:rPr>
                <w:lang w:val="en-US"/>
              </w:rPr>
              <w:t>0</w:t>
            </w:r>
            <w:r w:rsidR="00476780">
              <w:rPr>
                <w:lang w:val="en-US"/>
              </w:rPr>
              <w:t>)</w:t>
            </w:r>
            <w:r>
              <w:rPr>
                <w:lang w:val="en-US"/>
              </w:rPr>
              <w:t>69-690-71850</w:t>
            </w:r>
          </w:p>
        </w:tc>
        <w:tc>
          <w:tcPr>
            <w:tcW w:w="4606" w:type="dxa"/>
            <w:vAlign w:val="center"/>
          </w:tcPr>
          <w:p w:rsidR="00E5508D" w:rsidRDefault="00CA6688" w:rsidP="0018079F">
            <w:pPr>
              <w:tabs>
                <w:tab w:val="left" w:pos="851"/>
              </w:tabs>
              <w:spacing w:before="80" w:after="80"/>
              <w:rPr>
                <w:lang w:val="en-US"/>
              </w:rPr>
            </w:pPr>
            <w:r>
              <w:rPr>
                <w:b/>
                <w:lang w:val="en-US"/>
              </w:rPr>
              <w:fldChar w:fldCharType="begin">
                <w:ffData>
                  <w:name w:val="Text1"/>
                  <w:enabled/>
                  <w:calcOnExit w:val="0"/>
                  <w:textInput/>
                </w:ffData>
              </w:fldChar>
            </w:r>
            <w:r w:rsidR="001A3966">
              <w:rPr>
                <w:b/>
                <w:lang w:val="en-US"/>
              </w:rPr>
              <w:instrText xml:space="preserve"> FORMTEXT </w:instrText>
            </w:r>
            <w:r>
              <w:rPr>
                <w:b/>
                <w:lang w:val="en-US"/>
              </w:rPr>
            </w:r>
            <w:r>
              <w:rPr>
                <w:b/>
                <w:lang w:val="en-US"/>
              </w:rPr>
              <w:fldChar w:fldCharType="separate"/>
            </w:r>
            <w:r w:rsidR="001A3966">
              <w:rPr>
                <w:b/>
                <w:noProof/>
                <w:lang w:val="en-US"/>
              </w:rPr>
              <w:t> </w:t>
            </w:r>
            <w:r w:rsidR="001A3966">
              <w:rPr>
                <w:b/>
                <w:noProof/>
                <w:lang w:val="en-US"/>
              </w:rPr>
              <w:t> </w:t>
            </w:r>
            <w:r w:rsidR="001A3966">
              <w:rPr>
                <w:b/>
                <w:noProof/>
                <w:lang w:val="en-US"/>
              </w:rPr>
              <w:t> </w:t>
            </w:r>
            <w:r w:rsidR="001A3966">
              <w:rPr>
                <w:b/>
                <w:noProof/>
                <w:lang w:val="en-US"/>
              </w:rPr>
              <w:t> </w:t>
            </w:r>
            <w:r w:rsidR="001A3966">
              <w:rPr>
                <w:b/>
                <w:noProof/>
                <w:lang w:val="en-US"/>
              </w:rPr>
              <w:t> </w:t>
            </w:r>
            <w:r>
              <w:rPr>
                <w:b/>
                <w:lang w:val="en-US"/>
              </w:rPr>
              <w:fldChar w:fldCharType="end"/>
            </w:r>
          </w:p>
        </w:tc>
      </w:tr>
      <w:tr w:rsidR="00476780" w:rsidTr="001A3966">
        <w:tc>
          <w:tcPr>
            <w:tcW w:w="4606" w:type="dxa"/>
          </w:tcPr>
          <w:p w:rsidR="00476780" w:rsidRDefault="00476780" w:rsidP="0018079F">
            <w:pPr>
              <w:tabs>
                <w:tab w:val="left" w:pos="851"/>
              </w:tabs>
              <w:spacing w:before="80" w:after="80"/>
              <w:rPr>
                <w:lang w:val="en-US"/>
              </w:rPr>
            </w:pPr>
            <w:r>
              <w:rPr>
                <w:lang w:val="en-US"/>
              </w:rPr>
              <w:t>Fax +49 (0)69-690-25111</w:t>
            </w:r>
          </w:p>
        </w:tc>
        <w:tc>
          <w:tcPr>
            <w:tcW w:w="4606" w:type="dxa"/>
            <w:vAlign w:val="center"/>
          </w:tcPr>
          <w:p w:rsidR="00476780" w:rsidRDefault="00CA6688" w:rsidP="0018079F">
            <w:pPr>
              <w:tabs>
                <w:tab w:val="left" w:pos="851"/>
              </w:tabs>
              <w:spacing w:before="80" w:after="80"/>
              <w:rPr>
                <w:b/>
                <w:lang w:val="en-US"/>
              </w:rPr>
            </w:pPr>
            <w:r>
              <w:rPr>
                <w:b/>
                <w:lang w:val="en-US"/>
              </w:rPr>
              <w:fldChar w:fldCharType="begin">
                <w:ffData>
                  <w:name w:val="Text1"/>
                  <w:enabled/>
                  <w:calcOnExit w:val="0"/>
                  <w:textInput/>
                </w:ffData>
              </w:fldChar>
            </w:r>
            <w:r w:rsidR="00476780">
              <w:rPr>
                <w:b/>
                <w:lang w:val="en-US"/>
              </w:rPr>
              <w:instrText xml:space="preserve"> FORMTEXT </w:instrText>
            </w:r>
            <w:r>
              <w:rPr>
                <w:b/>
                <w:lang w:val="en-US"/>
              </w:rPr>
            </w:r>
            <w:r>
              <w:rPr>
                <w:b/>
                <w:lang w:val="en-US"/>
              </w:rPr>
              <w:fldChar w:fldCharType="separate"/>
            </w:r>
            <w:r w:rsidR="00476780">
              <w:rPr>
                <w:b/>
                <w:noProof/>
                <w:lang w:val="en-US"/>
              </w:rPr>
              <w:t> </w:t>
            </w:r>
            <w:r w:rsidR="00476780">
              <w:rPr>
                <w:b/>
                <w:noProof/>
                <w:lang w:val="en-US"/>
              </w:rPr>
              <w:t> </w:t>
            </w:r>
            <w:r w:rsidR="00476780">
              <w:rPr>
                <w:b/>
                <w:noProof/>
                <w:lang w:val="en-US"/>
              </w:rPr>
              <w:t> </w:t>
            </w:r>
            <w:r w:rsidR="00476780">
              <w:rPr>
                <w:b/>
                <w:noProof/>
                <w:lang w:val="en-US"/>
              </w:rPr>
              <w:t> </w:t>
            </w:r>
            <w:r w:rsidR="00476780">
              <w:rPr>
                <w:b/>
                <w:noProof/>
                <w:lang w:val="en-US"/>
              </w:rPr>
              <w:t> </w:t>
            </w:r>
            <w:r>
              <w:rPr>
                <w:b/>
                <w:lang w:val="en-US"/>
              </w:rPr>
              <w:fldChar w:fldCharType="end"/>
            </w:r>
          </w:p>
        </w:tc>
      </w:tr>
      <w:tr w:rsidR="00E5508D" w:rsidRPr="002830CB" w:rsidTr="001A3966">
        <w:tc>
          <w:tcPr>
            <w:tcW w:w="4606" w:type="dxa"/>
          </w:tcPr>
          <w:p w:rsidR="00E5508D" w:rsidRPr="002830CB" w:rsidRDefault="00314736" w:rsidP="00576D4C">
            <w:pPr>
              <w:tabs>
                <w:tab w:val="left" w:pos="851"/>
              </w:tabs>
              <w:spacing w:before="80" w:after="80"/>
            </w:pPr>
            <w:r>
              <w:t>E-Mail export-codo</w:t>
            </w:r>
            <w:r w:rsidR="002830CB" w:rsidRPr="002830CB">
              <w:t>@</w:t>
            </w:r>
            <w:r w:rsidR="00576D4C">
              <w:t>fcs.wfs.aero</w:t>
            </w:r>
          </w:p>
        </w:tc>
        <w:tc>
          <w:tcPr>
            <w:tcW w:w="4606" w:type="dxa"/>
            <w:vAlign w:val="center"/>
          </w:tcPr>
          <w:p w:rsidR="00E5508D" w:rsidRPr="002830CB" w:rsidRDefault="00CA6688" w:rsidP="0018079F">
            <w:pPr>
              <w:tabs>
                <w:tab w:val="left" w:pos="851"/>
              </w:tabs>
              <w:spacing w:before="80" w:after="80"/>
            </w:pPr>
            <w:r>
              <w:rPr>
                <w:b/>
                <w:lang w:val="en-US"/>
              </w:rPr>
              <w:fldChar w:fldCharType="begin">
                <w:ffData>
                  <w:name w:val="Text1"/>
                  <w:enabled/>
                  <w:calcOnExit w:val="0"/>
                  <w:textInput/>
                </w:ffData>
              </w:fldChar>
            </w:r>
            <w:r w:rsidR="001A3966">
              <w:rPr>
                <w:b/>
                <w:lang w:val="en-US"/>
              </w:rPr>
              <w:instrText xml:space="preserve"> FORMTEXT </w:instrText>
            </w:r>
            <w:r>
              <w:rPr>
                <w:b/>
                <w:lang w:val="en-US"/>
              </w:rPr>
            </w:r>
            <w:r>
              <w:rPr>
                <w:b/>
                <w:lang w:val="en-US"/>
              </w:rPr>
              <w:fldChar w:fldCharType="separate"/>
            </w:r>
            <w:r w:rsidR="001A3966">
              <w:rPr>
                <w:b/>
                <w:noProof/>
                <w:lang w:val="en-US"/>
              </w:rPr>
              <w:t> </w:t>
            </w:r>
            <w:r w:rsidR="001A3966">
              <w:rPr>
                <w:b/>
                <w:noProof/>
                <w:lang w:val="en-US"/>
              </w:rPr>
              <w:t> </w:t>
            </w:r>
            <w:r w:rsidR="001A3966">
              <w:rPr>
                <w:b/>
                <w:noProof/>
                <w:lang w:val="en-US"/>
              </w:rPr>
              <w:t> </w:t>
            </w:r>
            <w:r w:rsidR="001A3966">
              <w:rPr>
                <w:b/>
                <w:noProof/>
                <w:lang w:val="en-US"/>
              </w:rPr>
              <w:t> </w:t>
            </w:r>
            <w:r w:rsidR="001A3966">
              <w:rPr>
                <w:b/>
                <w:noProof/>
                <w:lang w:val="en-US"/>
              </w:rPr>
              <w:t> </w:t>
            </w:r>
            <w:r>
              <w:rPr>
                <w:b/>
                <w:lang w:val="en-US"/>
              </w:rPr>
              <w:fldChar w:fldCharType="end"/>
            </w:r>
          </w:p>
        </w:tc>
      </w:tr>
    </w:tbl>
    <w:p w:rsidR="00E5508D" w:rsidRPr="00D24373" w:rsidRDefault="00E5508D" w:rsidP="0018079F">
      <w:pPr>
        <w:tabs>
          <w:tab w:val="left" w:pos="851"/>
        </w:tabs>
        <w:spacing w:before="80" w:after="80"/>
        <w:rPr>
          <w:sz w:val="8"/>
          <w:szCs w:val="8"/>
        </w:rPr>
      </w:pPr>
    </w:p>
    <w:tbl>
      <w:tblPr>
        <w:tblStyle w:val="Tabellenraster"/>
        <w:tblW w:w="0" w:type="auto"/>
        <w:shd w:val="clear" w:color="auto" w:fill="2424FF" w:themeFill="text2" w:themeFillTint="99"/>
        <w:tblLook w:val="04A0" w:firstRow="1" w:lastRow="0" w:firstColumn="1" w:lastColumn="0" w:noHBand="0" w:noVBand="1"/>
      </w:tblPr>
      <w:tblGrid>
        <w:gridCol w:w="9212"/>
      </w:tblGrid>
      <w:tr w:rsidR="002830CB" w:rsidRPr="00585175" w:rsidTr="00316E53">
        <w:tc>
          <w:tcPr>
            <w:tcW w:w="9212" w:type="dxa"/>
            <w:tcBorders>
              <w:bottom w:val="nil"/>
            </w:tcBorders>
            <w:shd w:val="clear" w:color="auto" w:fill="2424FF" w:themeFill="text2" w:themeFillTint="99"/>
          </w:tcPr>
          <w:p w:rsidR="00D01B8D" w:rsidRPr="00DD40DC" w:rsidRDefault="00D01B8D" w:rsidP="00DD40DC">
            <w:pPr>
              <w:tabs>
                <w:tab w:val="left" w:pos="851"/>
              </w:tabs>
              <w:spacing w:before="80" w:after="80"/>
              <w:jc w:val="center"/>
              <w:rPr>
                <w:b/>
                <w:color w:val="FFFFFF" w:themeColor="background1"/>
                <w:sz w:val="22"/>
                <w:szCs w:val="22"/>
                <w:lang w:val="en-US"/>
              </w:rPr>
            </w:pPr>
            <w:r w:rsidRPr="006D5245">
              <w:rPr>
                <w:b/>
                <w:i/>
                <w:color w:val="FFFFFF" w:themeColor="background1"/>
                <w:sz w:val="22"/>
                <w:szCs w:val="22"/>
                <w:lang w:val="en-US"/>
              </w:rPr>
              <w:t>ORDER FOR SECURITY CHECK OF AIRFREIGHT SHIPMENTS</w:t>
            </w:r>
            <w:r w:rsidR="000010A9" w:rsidRPr="006D5245">
              <w:rPr>
                <w:b/>
                <w:color w:val="FFFFFF" w:themeColor="background1"/>
                <w:sz w:val="22"/>
                <w:szCs w:val="22"/>
                <w:lang w:val="en-US"/>
              </w:rPr>
              <w:t xml:space="preserve"> </w:t>
            </w:r>
          </w:p>
        </w:tc>
      </w:tr>
      <w:tr w:rsidR="00316E53" w:rsidRPr="00585175" w:rsidTr="00316E53">
        <w:tc>
          <w:tcPr>
            <w:tcW w:w="9212" w:type="dxa"/>
            <w:tcBorders>
              <w:top w:val="nil"/>
              <w:left w:val="nil"/>
              <w:bottom w:val="nil"/>
              <w:right w:val="nil"/>
            </w:tcBorders>
            <w:shd w:val="clear" w:color="auto" w:fill="FFFFFF" w:themeFill="background1"/>
          </w:tcPr>
          <w:p w:rsidR="00316E53" w:rsidRPr="00316E53" w:rsidRDefault="00316E53" w:rsidP="00316E53">
            <w:pPr>
              <w:tabs>
                <w:tab w:val="left" w:pos="851"/>
              </w:tabs>
              <w:spacing w:before="80" w:after="80"/>
              <w:jc w:val="center"/>
              <w:rPr>
                <w:b/>
                <w:i/>
                <w:color w:val="FF0000"/>
                <w:sz w:val="22"/>
                <w:szCs w:val="22"/>
                <w:lang w:val="en-US"/>
              </w:rPr>
            </w:pPr>
            <w:r w:rsidRPr="00316E53">
              <w:rPr>
                <w:b/>
                <w:i/>
                <w:color w:val="FF0000"/>
                <w:sz w:val="22"/>
                <w:szCs w:val="22"/>
                <w:lang w:val="en-US"/>
              </w:rPr>
              <w:t>PLEASE HAND OVER WITH SHIPMENT</w:t>
            </w:r>
          </w:p>
        </w:tc>
      </w:tr>
    </w:tbl>
    <w:p w:rsidR="002830CB" w:rsidRPr="00316E53" w:rsidRDefault="002830CB" w:rsidP="0018079F">
      <w:pPr>
        <w:tabs>
          <w:tab w:val="left" w:pos="851"/>
        </w:tabs>
        <w:spacing w:before="80" w:after="80"/>
        <w:rPr>
          <w:b/>
          <w:sz w:val="8"/>
          <w:szCs w:val="8"/>
          <w:lang w:val="en-US"/>
        </w:rPr>
      </w:pPr>
    </w:p>
    <w:tbl>
      <w:tblPr>
        <w:tblStyle w:val="Tabellenraster"/>
        <w:tblW w:w="0" w:type="auto"/>
        <w:tblLook w:val="04A0" w:firstRow="1" w:lastRow="0" w:firstColumn="1" w:lastColumn="0" w:noHBand="0" w:noVBand="1"/>
      </w:tblPr>
      <w:tblGrid>
        <w:gridCol w:w="2943"/>
        <w:gridCol w:w="1276"/>
        <w:gridCol w:w="1134"/>
        <w:gridCol w:w="1292"/>
        <w:gridCol w:w="1134"/>
        <w:gridCol w:w="1591"/>
      </w:tblGrid>
      <w:tr w:rsidR="002830CB" w:rsidTr="001A3966">
        <w:trPr>
          <w:trHeight w:val="180"/>
        </w:trPr>
        <w:tc>
          <w:tcPr>
            <w:tcW w:w="2943" w:type="dxa"/>
            <w:tcBorders>
              <w:bottom w:val="nil"/>
            </w:tcBorders>
          </w:tcPr>
          <w:p w:rsidR="00476780" w:rsidRPr="0018079F" w:rsidRDefault="002830CB" w:rsidP="00263B23">
            <w:pPr>
              <w:tabs>
                <w:tab w:val="left" w:pos="851"/>
              </w:tabs>
              <w:spacing w:before="60" w:after="60"/>
              <w:rPr>
                <w:i/>
                <w:sz w:val="16"/>
                <w:szCs w:val="16"/>
                <w:lang w:val="en-US"/>
              </w:rPr>
            </w:pPr>
            <w:r w:rsidRPr="00476780">
              <w:rPr>
                <w:i/>
                <w:sz w:val="16"/>
                <w:szCs w:val="16"/>
                <w:lang w:val="en-US"/>
              </w:rPr>
              <w:t>AWB</w:t>
            </w:r>
          </w:p>
        </w:tc>
        <w:tc>
          <w:tcPr>
            <w:tcW w:w="1276" w:type="dxa"/>
            <w:tcBorders>
              <w:bottom w:val="nil"/>
            </w:tcBorders>
          </w:tcPr>
          <w:p w:rsidR="00476780" w:rsidRPr="0018079F" w:rsidRDefault="002830CB" w:rsidP="00263B23">
            <w:pPr>
              <w:tabs>
                <w:tab w:val="left" w:pos="851"/>
              </w:tabs>
              <w:spacing w:before="60" w:after="60"/>
              <w:rPr>
                <w:i/>
                <w:sz w:val="16"/>
                <w:szCs w:val="16"/>
                <w:lang w:val="en-US"/>
              </w:rPr>
            </w:pPr>
            <w:r w:rsidRPr="00476780">
              <w:rPr>
                <w:i/>
                <w:sz w:val="16"/>
                <w:szCs w:val="16"/>
                <w:lang w:val="en-US"/>
              </w:rPr>
              <w:t>AIRLINE</w:t>
            </w:r>
          </w:p>
        </w:tc>
        <w:tc>
          <w:tcPr>
            <w:tcW w:w="1134" w:type="dxa"/>
            <w:tcBorders>
              <w:bottom w:val="nil"/>
            </w:tcBorders>
          </w:tcPr>
          <w:p w:rsidR="002830CB" w:rsidRPr="00476780" w:rsidRDefault="002830CB" w:rsidP="00263B23">
            <w:pPr>
              <w:tabs>
                <w:tab w:val="left" w:pos="851"/>
              </w:tabs>
              <w:spacing w:before="60" w:after="60"/>
              <w:rPr>
                <w:i/>
                <w:sz w:val="16"/>
                <w:szCs w:val="16"/>
                <w:lang w:val="en-US"/>
              </w:rPr>
            </w:pPr>
            <w:r w:rsidRPr="00476780">
              <w:rPr>
                <w:i/>
                <w:sz w:val="16"/>
                <w:szCs w:val="16"/>
                <w:lang w:val="en-US"/>
              </w:rPr>
              <w:t>ORI</w:t>
            </w:r>
            <w:r w:rsidR="00D01B8D">
              <w:rPr>
                <w:i/>
                <w:sz w:val="16"/>
                <w:szCs w:val="16"/>
                <w:lang w:val="en-US"/>
              </w:rPr>
              <w:t>GIN</w:t>
            </w:r>
          </w:p>
        </w:tc>
        <w:tc>
          <w:tcPr>
            <w:tcW w:w="1134" w:type="dxa"/>
            <w:tcBorders>
              <w:bottom w:val="nil"/>
            </w:tcBorders>
          </w:tcPr>
          <w:p w:rsidR="002830CB" w:rsidRPr="00476780" w:rsidRDefault="002830CB" w:rsidP="00263B23">
            <w:pPr>
              <w:tabs>
                <w:tab w:val="left" w:pos="851"/>
              </w:tabs>
              <w:spacing w:before="60" w:after="60"/>
              <w:rPr>
                <w:i/>
                <w:sz w:val="16"/>
                <w:szCs w:val="16"/>
                <w:lang w:val="en-US"/>
              </w:rPr>
            </w:pPr>
            <w:r w:rsidRPr="00476780">
              <w:rPr>
                <w:i/>
                <w:sz w:val="16"/>
                <w:szCs w:val="16"/>
                <w:lang w:val="en-US"/>
              </w:rPr>
              <w:t>DEST</w:t>
            </w:r>
            <w:r w:rsidR="00D01B8D">
              <w:rPr>
                <w:i/>
                <w:sz w:val="16"/>
                <w:szCs w:val="16"/>
                <w:lang w:val="en-US"/>
              </w:rPr>
              <w:t>INATION</w:t>
            </w:r>
          </w:p>
        </w:tc>
        <w:tc>
          <w:tcPr>
            <w:tcW w:w="1134" w:type="dxa"/>
            <w:tcBorders>
              <w:bottom w:val="nil"/>
            </w:tcBorders>
          </w:tcPr>
          <w:p w:rsidR="002830CB" w:rsidRPr="00476780" w:rsidRDefault="002830CB" w:rsidP="00263B23">
            <w:pPr>
              <w:tabs>
                <w:tab w:val="left" w:pos="851"/>
              </w:tabs>
              <w:spacing w:before="60" w:after="60"/>
              <w:rPr>
                <w:i/>
                <w:sz w:val="16"/>
                <w:szCs w:val="16"/>
                <w:lang w:val="en-US"/>
              </w:rPr>
            </w:pPr>
            <w:r w:rsidRPr="00476780">
              <w:rPr>
                <w:i/>
                <w:sz w:val="16"/>
                <w:szCs w:val="16"/>
                <w:lang w:val="en-US"/>
              </w:rPr>
              <w:t>PIECES</w:t>
            </w:r>
          </w:p>
        </w:tc>
        <w:tc>
          <w:tcPr>
            <w:tcW w:w="1591" w:type="dxa"/>
            <w:tcBorders>
              <w:bottom w:val="nil"/>
            </w:tcBorders>
          </w:tcPr>
          <w:p w:rsidR="002830CB" w:rsidRPr="00476780" w:rsidRDefault="002830CB" w:rsidP="00263B23">
            <w:pPr>
              <w:tabs>
                <w:tab w:val="left" w:pos="851"/>
              </w:tabs>
              <w:spacing w:before="60" w:after="60"/>
              <w:rPr>
                <w:i/>
                <w:sz w:val="16"/>
                <w:szCs w:val="16"/>
                <w:lang w:val="en-US"/>
              </w:rPr>
            </w:pPr>
            <w:r w:rsidRPr="00476780">
              <w:rPr>
                <w:i/>
                <w:sz w:val="16"/>
                <w:szCs w:val="16"/>
                <w:lang w:val="en-US"/>
              </w:rPr>
              <w:t>WEIGHT</w:t>
            </w:r>
          </w:p>
        </w:tc>
      </w:tr>
      <w:tr w:rsidR="002830CB" w:rsidTr="001A3966">
        <w:tc>
          <w:tcPr>
            <w:tcW w:w="2943" w:type="dxa"/>
            <w:tcBorders>
              <w:top w:val="nil"/>
            </w:tcBorders>
            <w:vAlign w:val="center"/>
          </w:tcPr>
          <w:p w:rsidR="001A3966" w:rsidRDefault="00CA6688" w:rsidP="00263B23">
            <w:pPr>
              <w:tabs>
                <w:tab w:val="left" w:pos="851"/>
              </w:tabs>
              <w:spacing w:before="60" w:after="60"/>
              <w:rPr>
                <w:b/>
                <w:lang w:val="en-US"/>
              </w:rPr>
            </w:pPr>
            <w:r>
              <w:rPr>
                <w:b/>
                <w:lang w:val="en-US"/>
              </w:rPr>
              <w:fldChar w:fldCharType="begin">
                <w:ffData>
                  <w:name w:val="Text1"/>
                  <w:enabled/>
                  <w:calcOnExit w:val="0"/>
                  <w:textInput/>
                </w:ffData>
              </w:fldChar>
            </w:r>
            <w:bookmarkStart w:id="0" w:name="Text1"/>
            <w:r w:rsidR="001A3966">
              <w:rPr>
                <w:b/>
                <w:lang w:val="en-US"/>
              </w:rPr>
              <w:instrText xml:space="preserve"> FORMTEXT </w:instrText>
            </w:r>
            <w:r>
              <w:rPr>
                <w:b/>
                <w:lang w:val="en-US"/>
              </w:rPr>
            </w:r>
            <w:r>
              <w:rPr>
                <w:b/>
                <w:lang w:val="en-US"/>
              </w:rPr>
              <w:fldChar w:fldCharType="separate"/>
            </w:r>
            <w:r w:rsidR="001A3966">
              <w:rPr>
                <w:b/>
                <w:noProof/>
                <w:lang w:val="en-US"/>
              </w:rPr>
              <w:t> </w:t>
            </w:r>
            <w:r w:rsidR="001A3966">
              <w:rPr>
                <w:b/>
                <w:noProof/>
                <w:lang w:val="en-US"/>
              </w:rPr>
              <w:t> </w:t>
            </w:r>
            <w:r w:rsidR="001A3966">
              <w:rPr>
                <w:b/>
                <w:noProof/>
                <w:lang w:val="en-US"/>
              </w:rPr>
              <w:t> </w:t>
            </w:r>
            <w:r w:rsidR="001A3966">
              <w:rPr>
                <w:b/>
                <w:noProof/>
                <w:lang w:val="en-US"/>
              </w:rPr>
              <w:t> </w:t>
            </w:r>
            <w:r w:rsidR="001A3966">
              <w:rPr>
                <w:b/>
                <w:noProof/>
                <w:lang w:val="en-US"/>
              </w:rPr>
              <w:t> </w:t>
            </w:r>
            <w:r>
              <w:rPr>
                <w:b/>
                <w:lang w:val="en-US"/>
              </w:rPr>
              <w:fldChar w:fldCharType="end"/>
            </w:r>
            <w:bookmarkEnd w:id="0"/>
          </w:p>
        </w:tc>
        <w:tc>
          <w:tcPr>
            <w:tcW w:w="1276" w:type="dxa"/>
            <w:tcBorders>
              <w:top w:val="nil"/>
            </w:tcBorders>
            <w:vAlign w:val="center"/>
          </w:tcPr>
          <w:p w:rsidR="001A3966" w:rsidRDefault="00CA6688" w:rsidP="00263B23">
            <w:pPr>
              <w:tabs>
                <w:tab w:val="left" w:pos="851"/>
              </w:tabs>
              <w:spacing w:before="60" w:after="60"/>
              <w:rPr>
                <w:b/>
                <w:lang w:val="en-US"/>
              </w:rPr>
            </w:pPr>
            <w:r>
              <w:rPr>
                <w:b/>
                <w:lang w:val="en-US"/>
              </w:rPr>
              <w:fldChar w:fldCharType="begin">
                <w:ffData>
                  <w:name w:val="Text2"/>
                  <w:enabled/>
                  <w:calcOnExit w:val="0"/>
                  <w:textInput/>
                </w:ffData>
              </w:fldChar>
            </w:r>
            <w:bookmarkStart w:id="1" w:name="Text2"/>
            <w:r w:rsidR="001A3966">
              <w:rPr>
                <w:b/>
                <w:lang w:val="en-US"/>
              </w:rPr>
              <w:instrText xml:space="preserve"> FORMTEXT </w:instrText>
            </w:r>
            <w:r>
              <w:rPr>
                <w:b/>
                <w:lang w:val="en-US"/>
              </w:rPr>
            </w:r>
            <w:r>
              <w:rPr>
                <w:b/>
                <w:lang w:val="en-US"/>
              </w:rPr>
              <w:fldChar w:fldCharType="separate"/>
            </w:r>
            <w:r w:rsidR="001A3966">
              <w:rPr>
                <w:b/>
                <w:noProof/>
                <w:lang w:val="en-US"/>
              </w:rPr>
              <w:t> </w:t>
            </w:r>
            <w:r w:rsidR="001A3966">
              <w:rPr>
                <w:b/>
                <w:noProof/>
                <w:lang w:val="en-US"/>
              </w:rPr>
              <w:t> </w:t>
            </w:r>
            <w:r w:rsidR="001A3966">
              <w:rPr>
                <w:b/>
                <w:noProof/>
                <w:lang w:val="en-US"/>
              </w:rPr>
              <w:t> </w:t>
            </w:r>
            <w:r w:rsidR="001A3966">
              <w:rPr>
                <w:b/>
                <w:noProof/>
                <w:lang w:val="en-US"/>
              </w:rPr>
              <w:t> </w:t>
            </w:r>
            <w:r w:rsidR="001A3966">
              <w:rPr>
                <w:b/>
                <w:noProof/>
                <w:lang w:val="en-US"/>
              </w:rPr>
              <w:t> </w:t>
            </w:r>
            <w:r>
              <w:rPr>
                <w:b/>
                <w:lang w:val="en-US"/>
              </w:rPr>
              <w:fldChar w:fldCharType="end"/>
            </w:r>
            <w:bookmarkEnd w:id="1"/>
          </w:p>
        </w:tc>
        <w:tc>
          <w:tcPr>
            <w:tcW w:w="1134" w:type="dxa"/>
            <w:tcBorders>
              <w:top w:val="nil"/>
            </w:tcBorders>
            <w:vAlign w:val="center"/>
          </w:tcPr>
          <w:p w:rsidR="001A3966" w:rsidRDefault="00CA6688" w:rsidP="00263B23">
            <w:pPr>
              <w:tabs>
                <w:tab w:val="left" w:pos="851"/>
              </w:tabs>
              <w:spacing w:before="60" w:after="60"/>
              <w:rPr>
                <w:b/>
                <w:lang w:val="en-US"/>
              </w:rPr>
            </w:pPr>
            <w:r>
              <w:rPr>
                <w:b/>
                <w:lang w:val="en-US"/>
              </w:rPr>
              <w:fldChar w:fldCharType="begin">
                <w:ffData>
                  <w:name w:val="Text3"/>
                  <w:enabled/>
                  <w:calcOnExit w:val="0"/>
                  <w:textInput/>
                </w:ffData>
              </w:fldChar>
            </w:r>
            <w:bookmarkStart w:id="2" w:name="Text3"/>
            <w:r w:rsidR="001A3966">
              <w:rPr>
                <w:b/>
                <w:lang w:val="en-US"/>
              </w:rPr>
              <w:instrText xml:space="preserve"> FORMTEXT </w:instrText>
            </w:r>
            <w:r>
              <w:rPr>
                <w:b/>
                <w:lang w:val="en-US"/>
              </w:rPr>
            </w:r>
            <w:r>
              <w:rPr>
                <w:b/>
                <w:lang w:val="en-US"/>
              </w:rPr>
              <w:fldChar w:fldCharType="separate"/>
            </w:r>
            <w:r w:rsidR="001A3966">
              <w:rPr>
                <w:b/>
                <w:noProof/>
                <w:lang w:val="en-US"/>
              </w:rPr>
              <w:t> </w:t>
            </w:r>
            <w:r w:rsidR="001A3966">
              <w:rPr>
                <w:b/>
                <w:noProof/>
                <w:lang w:val="en-US"/>
              </w:rPr>
              <w:t> </w:t>
            </w:r>
            <w:r w:rsidR="001A3966">
              <w:rPr>
                <w:b/>
                <w:noProof/>
                <w:lang w:val="en-US"/>
              </w:rPr>
              <w:t> </w:t>
            </w:r>
            <w:r w:rsidR="001A3966">
              <w:rPr>
                <w:b/>
                <w:noProof/>
                <w:lang w:val="en-US"/>
              </w:rPr>
              <w:t> </w:t>
            </w:r>
            <w:r w:rsidR="001A3966">
              <w:rPr>
                <w:b/>
                <w:noProof/>
                <w:lang w:val="en-US"/>
              </w:rPr>
              <w:t> </w:t>
            </w:r>
            <w:r>
              <w:rPr>
                <w:b/>
                <w:lang w:val="en-US"/>
              </w:rPr>
              <w:fldChar w:fldCharType="end"/>
            </w:r>
            <w:bookmarkEnd w:id="2"/>
          </w:p>
        </w:tc>
        <w:tc>
          <w:tcPr>
            <w:tcW w:w="1134" w:type="dxa"/>
            <w:tcBorders>
              <w:top w:val="nil"/>
            </w:tcBorders>
            <w:vAlign w:val="center"/>
          </w:tcPr>
          <w:p w:rsidR="001A3966" w:rsidRDefault="00CA6688" w:rsidP="00263B23">
            <w:pPr>
              <w:tabs>
                <w:tab w:val="left" w:pos="851"/>
              </w:tabs>
              <w:spacing w:before="60" w:after="60"/>
              <w:rPr>
                <w:b/>
                <w:lang w:val="en-US"/>
              </w:rPr>
            </w:pPr>
            <w:r>
              <w:rPr>
                <w:b/>
                <w:lang w:val="en-US"/>
              </w:rPr>
              <w:fldChar w:fldCharType="begin">
                <w:ffData>
                  <w:name w:val="Text4"/>
                  <w:enabled/>
                  <w:calcOnExit w:val="0"/>
                  <w:textInput/>
                </w:ffData>
              </w:fldChar>
            </w:r>
            <w:bookmarkStart w:id="3" w:name="Text4"/>
            <w:r w:rsidR="001A3966">
              <w:rPr>
                <w:b/>
                <w:lang w:val="en-US"/>
              </w:rPr>
              <w:instrText xml:space="preserve"> FORMTEXT </w:instrText>
            </w:r>
            <w:r>
              <w:rPr>
                <w:b/>
                <w:lang w:val="en-US"/>
              </w:rPr>
            </w:r>
            <w:r>
              <w:rPr>
                <w:b/>
                <w:lang w:val="en-US"/>
              </w:rPr>
              <w:fldChar w:fldCharType="separate"/>
            </w:r>
            <w:r w:rsidR="001A3966">
              <w:rPr>
                <w:b/>
                <w:noProof/>
                <w:lang w:val="en-US"/>
              </w:rPr>
              <w:t> </w:t>
            </w:r>
            <w:r w:rsidR="001A3966">
              <w:rPr>
                <w:b/>
                <w:noProof/>
                <w:lang w:val="en-US"/>
              </w:rPr>
              <w:t> </w:t>
            </w:r>
            <w:r w:rsidR="001A3966">
              <w:rPr>
                <w:b/>
                <w:noProof/>
                <w:lang w:val="en-US"/>
              </w:rPr>
              <w:t> </w:t>
            </w:r>
            <w:r w:rsidR="001A3966">
              <w:rPr>
                <w:b/>
                <w:noProof/>
                <w:lang w:val="en-US"/>
              </w:rPr>
              <w:t> </w:t>
            </w:r>
            <w:r w:rsidR="001A3966">
              <w:rPr>
                <w:b/>
                <w:noProof/>
                <w:lang w:val="en-US"/>
              </w:rPr>
              <w:t> </w:t>
            </w:r>
            <w:r>
              <w:rPr>
                <w:b/>
                <w:lang w:val="en-US"/>
              </w:rPr>
              <w:fldChar w:fldCharType="end"/>
            </w:r>
            <w:bookmarkEnd w:id="3"/>
          </w:p>
        </w:tc>
        <w:tc>
          <w:tcPr>
            <w:tcW w:w="1134" w:type="dxa"/>
            <w:tcBorders>
              <w:top w:val="nil"/>
            </w:tcBorders>
            <w:vAlign w:val="center"/>
          </w:tcPr>
          <w:p w:rsidR="001A3966" w:rsidRDefault="00CA6688" w:rsidP="00263B23">
            <w:pPr>
              <w:tabs>
                <w:tab w:val="left" w:pos="851"/>
              </w:tabs>
              <w:spacing w:before="60" w:after="60"/>
              <w:rPr>
                <w:b/>
                <w:lang w:val="en-US"/>
              </w:rPr>
            </w:pPr>
            <w:r>
              <w:rPr>
                <w:b/>
                <w:lang w:val="en-US"/>
              </w:rPr>
              <w:fldChar w:fldCharType="begin">
                <w:ffData>
                  <w:name w:val="Text5"/>
                  <w:enabled/>
                  <w:calcOnExit w:val="0"/>
                  <w:textInput/>
                </w:ffData>
              </w:fldChar>
            </w:r>
            <w:bookmarkStart w:id="4" w:name="Text5"/>
            <w:r w:rsidR="001A3966">
              <w:rPr>
                <w:b/>
                <w:lang w:val="en-US"/>
              </w:rPr>
              <w:instrText xml:space="preserve"> FORMTEXT </w:instrText>
            </w:r>
            <w:r>
              <w:rPr>
                <w:b/>
                <w:lang w:val="en-US"/>
              </w:rPr>
            </w:r>
            <w:r>
              <w:rPr>
                <w:b/>
                <w:lang w:val="en-US"/>
              </w:rPr>
              <w:fldChar w:fldCharType="separate"/>
            </w:r>
            <w:r w:rsidR="001A3966">
              <w:rPr>
                <w:b/>
                <w:noProof/>
                <w:lang w:val="en-US"/>
              </w:rPr>
              <w:t> </w:t>
            </w:r>
            <w:r w:rsidR="001A3966">
              <w:rPr>
                <w:b/>
                <w:noProof/>
                <w:lang w:val="en-US"/>
              </w:rPr>
              <w:t> </w:t>
            </w:r>
            <w:r w:rsidR="001A3966">
              <w:rPr>
                <w:b/>
                <w:noProof/>
                <w:lang w:val="en-US"/>
              </w:rPr>
              <w:t> </w:t>
            </w:r>
            <w:r w:rsidR="001A3966">
              <w:rPr>
                <w:b/>
                <w:noProof/>
                <w:lang w:val="en-US"/>
              </w:rPr>
              <w:t> </w:t>
            </w:r>
            <w:r w:rsidR="001A3966">
              <w:rPr>
                <w:b/>
                <w:noProof/>
                <w:lang w:val="en-US"/>
              </w:rPr>
              <w:t> </w:t>
            </w:r>
            <w:r>
              <w:rPr>
                <w:b/>
                <w:lang w:val="en-US"/>
              </w:rPr>
              <w:fldChar w:fldCharType="end"/>
            </w:r>
            <w:bookmarkEnd w:id="4"/>
          </w:p>
        </w:tc>
        <w:tc>
          <w:tcPr>
            <w:tcW w:w="1591" w:type="dxa"/>
            <w:tcBorders>
              <w:top w:val="nil"/>
            </w:tcBorders>
            <w:vAlign w:val="center"/>
          </w:tcPr>
          <w:p w:rsidR="001A3966" w:rsidRDefault="00CA6688" w:rsidP="00263B23">
            <w:pPr>
              <w:tabs>
                <w:tab w:val="left" w:pos="851"/>
              </w:tabs>
              <w:spacing w:before="60" w:after="60"/>
              <w:rPr>
                <w:b/>
                <w:lang w:val="en-US"/>
              </w:rPr>
            </w:pPr>
            <w:r>
              <w:rPr>
                <w:b/>
                <w:lang w:val="en-US"/>
              </w:rPr>
              <w:fldChar w:fldCharType="begin">
                <w:ffData>
                  <w:name w:val="Text6"/>
                  <w:enabled/>
                  <w:calcOnExit w:val="0"/>
                  <w:textInput/>
                </w:ffData>
              </w:fldChar>
            </w:r>
            <w:bookmarkStart w:id="5" w:name="Text6"/>
            <w:r w:rsidR="001A3966">
              <w:rPr>
                <w:b/>
                <w:lang w:val="en-US"/>
              </w:rPr>
              <w:instrText xml:space="preserve"> FORMTEXT </w:instrText>
            </w:r>
            <w:r>
              <w:rPr>
                <w:b/>
                <w:lang w:val="en-US"/>
              </w:rPr>
            </w:r>
            <w:r>
              <w:rPr>
                <w:b/>
                <w:lang w:val="en-US"/>
              </w:rPr>
              <w:fldChar w:fldCharType="separate"/>
            </w:r>
            <w:r w:rsidR="001A3966">
              <w:rPr>
                <w:b/>
                <w:noProof/>
                <w:lang w:val="en-US"/>
              </w:rPr>
              <w:t> </w:t>
            </w:r>
            <w:r w:rsidR="001A3966">
              <w:rPr>
                <w:b/>
                <w:noProof/>
                <w:lang w:val="en-US"/>
              </w:rPr>
              <w:t> </w:t>
            </w:r>
            <w:r w:rsidR="001A3966">
              <w:rPr>
                <w:b/>
                <w:noProof/>
                <w:lang w:val="en-US"/>
              </w:rPr>
              <w:t> </w:t>
            </w:r>
            <w:r w:rsidR="001A3966">
              <w:rPr>
                <w:b/>
                <w:noProof/>
                <w:lang w:val="en-US"/>
              </w:rPr>
              <w:t> </w:t>
            </w:r>
            <w:r w:rsidR="001A3966">
              <w:rPr>
                <w:b/>
                <w:noProof/>
                <w:lang w:val="en-US"/>
              </w:rPr>
              <w:t> </w:t>
            </w:r>
            <w:r>
              <w:rPr>
                <w:b/>
                <w:lang w:val="en-US"/>
              </w:rPr>
              <w:fldChar w:fldCharType="end"/>
            </w:r>
            <w:bookmarkEnd w:id="5"/>
          </w:p>
        </w:tc>
      </w:tr>
    </w:tbl>
    <w:p w:rsidR="008B3746" w:rsidRDefault="008B3746" w:rsidP="00263B23">
      <w:pPr>
        <w:tabs>
          <w:tab w:val="left" w:pos="284"/>
        </w:tabs>
        <w:spacing w:before="60" w:after="60"/>
        <w:ind w:left="284" w:hanging="284"/>
        <w:jc w:val="both"/>
      </w:pPr>
    </w:p>
    <w:p w:rsidR="00476780" w:rsidRPr="000010A9" w:rsidRDefault="00D01B8D" w:rsidP="00D01B8D">
      <w:pPr>
        <w:pStyle w:val="Listenabsatz"/>
        <w:numPr>
          <w:ilvl w:val="0"/>
          <w:numId w:val="16"/>
        </w:numPr>
        <w:tabs>
          <w:tab w:val="left" w:pos="284"/>
        </w:tabs>
        <w:spacing w:before="60" w:after="60"/>
        <w:ind w:left="284" w:hanging="284"/>
        <w:jc w:val="both"/>
        <w:rPr>
          <w:lang w:val="en-US"/>
        </w:rPr>
      </w:pPr>
      <w:r w:rsidRPr="000010A9">
        <w:rPr>
          <w:lang w:val="en-US"/>
        </w:rPr>
        <w:t>The completed order for security check and the airwaybill have to be on hand when the shipments are delivered.</w:t>
      </w:r>
    </w:p>
    <w:p w:rsidR="00F4598A" w:rsidRPr="000010A9" w:rsidRDefault="00576D4C" w:rsidP="00263B23">
      <w:pPr>
        <w:pStyle w:val="Listenabsatz"/>
        <w:numPr>
          <w:ilvl w:val="0"/>
          <w:numId w:val="16"/>
        </w:numPr>
        <w:spacing w:before="60" w:after="60"/>
        <w:ind w:left="284" w:hanging="284"/>
        <w:jc w:val="both"/>
        <w:rPr>
          <w:lang w:val="en-US"/>
        </w:rPr>
      </w:pPr>
      <w:r>
        <w:rPr>
          <w:lang w:val="en-US"/>
        </w:rPr>
        <w:t>FCS Frankfurt Cargo Services</w:t>
      </w:r>
      <w:r w:rsidR="00356133" w:rsidRPr="000010A9">
        <w:rPr>
          <w:lang w:val="en-US"/>
        </w:rPr>
        <w:t xml:space="preserve"> does only accept orders for security checks if the s</w:t>
      </w:r>
      <w:r w:rsidR="00D01B8D" w:rsidRPr="000010A9">
        <w:rPr>
          <w:lang w:val="en-US"/>
        </w:rPr>
        <w:t xml:space="preserve">hipments are </w:t>
      </w:r>
      <w:r w:rsidR="00356133" w:rsidRPr="000010A9">
        <w:rPr>
          <w:lang w:val="en-US"/>
        </w:rPr>
        <w:t>to be forwarded by</w:t>
      </w:r>
      <w:r w:rsidR="00D01B8D" w:rsidRPr="000010A9">
        <w:rPr>
          <w:lang w:val="en-US"/>
        </w:rPr>
        <w:t xml:space="preserve"> </w:t>
      </w:r>
      <w:r w:rsidR="00356133" w:rsidRPr="000010A9">
        <w:rPr>
          <w:lang w:val="en-US"/>
        </w:rPr>
        <w:t xml:space="preserve">an </w:t>
      </w:r>
      <w:r w:rsidR="00D01B8D" w:rsidRPr="000010A9">
        <w:rPr>
          <w:lang w:val="en-US"/>
        </w:rPr>
        <w:t xml:space="preserve">airline handled by </w:t>
      </w:r>
      <w:r>
        <w:rPr>
          <w:lang w:val="en-US"/>
        </w:rPr>
        <w:t>FCS Frankfurt Cargo Services</w:t>
      </w:r>
      <w:r w:rsidR="008D60DA">
        <w:rPr>
          <w:lang w:val="en-US"/>
        </w:rPr>
        <w:t>.</w:t>
      </w:r>
    </w:p>
    <w:p w:rsidR="00ED3DD2" w:rsidRPr="000010A9" w:rsidRDefault="00356133" w:rsidP="00263B23">
      <w:pPr>
        <w:pStyle w:val="Listenabsatz"/>
        <w:numPr>
          <w:ilvl w:val="0"/>
          <w:numId w:val="16"/>
        </w:numPr>
        <w:tabs>
          <w:tab w:val="left" w:pos="284"/>
        </w:tabs>
        <w:spacing w:before="60" w:after="60"/>
        <w:ind w:left="284" w:hanging="284"/>
        <w:jc w:val="both"/>
        <w:rPr>
          <w:lang w:val="en-US"/>
        </w:rPr>
      </w:pPr>
      <w:r w:rsidRPr="000010A9">
        <w:rPr>
          <w:lang w:val="en-US"/>
        </w:rPr>
        <w:t>Depending on the nature of the shipment the most adequate method to detect forbidden objects will be used for the security check.</w:t>
      </w:r>
    </w:p>
    <w:p w:rsidR="00476780" w:rsidRPr="000010A9" w:rsidRDefault="00356133" w:rsidP="00263B23">
      <w:pPr>
        <w:pStyle w:val="Listenabsatz"/>
        <w:numPr>
          <w:ilvl w:val="0"/>
          <w:numId w:val="16"/>
        </w:numPr>
        <w:spacing w:before="60" w:after="60"/>
        <w:ind w:left="284" w:hanging="284"/>
        <w:jc w:val="both"/>
        <w:rPr>
          <w:color w:val="auto"/>
          <w:lang w:val="en-US"/>
        </w:rPr>
      </w:pPr>
      <w:r w:rsidRPr="000010A9">
        <w:rPr>
          <w:lang w:val="en-US"/>
        </w:rPr>
        <w:t>If the shipment cannot be opened due to its physical nature, additional costs apply by the packing company.</w:t>
      </w:r>
      <w:r w:rsidR="00903CAF">
        <w:rPr>
          <w:lang w:val="en-US"/>
        </w:rPr>
        <w:t xml:space="preserve"> The costs are charged to the ordering company directly by the packaging company.</w:t>
      </w:r>
    </w:p>
    <w:p w:rsidR="00F4598A" w:rsidRPr="000010A9" w:rsidRDefault="00356133" w:rsidP="00263B23">
      <w:pPr>
        <w:pStyle w:val="Listenabsatz"/>
        <w:numPr>
          <w:ilvl w:val="0"/>
          <w:numId w:val="16"/>
        </w:numPr>
        <w:spacing w:before="60" w:after="60"/>
        <w:ind w:left="284" w:hanging="284"/>
        <w:jc w:val="both"/>
        <w:rPr>
          <w:color w:val="auto"/>
          <w:lang w:val="en-US"/>
        </w:rPr>
      </w:pPr>
      <w:r w:rsidRPr="000010A9">
        <w:rPr>
          <w:color w:val="auto"/>
          <w:lang w:val="en-US"/>
        </w:rPr>
        <w:t xml:space="preserve">The security check for above-mentioned shipment is charged according to the published prices of </w:t>
      </w:r>
      <w:r w:rsidR="00576D4C">
        <w:rPr>
          <w:color w:val="auto"/>
          <w:lang w:val="en-US"/>
        </w:rPr>
        <w:t>FCS Frankfurt Cargo Services</w:t>
      </w:r>
      <w:r w:rsidRPr="000010A9">
        <w:rPr>
          <w:color w:val="auto"/>
          <w:lang w:val="en-US"/>
        </w:rPr>
        <w:t xml:space="preserve">. </w:t>
      </w:r>
    </w:p>
    <w:p w:rsidR="00F4598A" w:rsidRPr="000010A9" w:rsidRDefault="00356133" w:rsidP="008D60DA">
      <w:pPr>
        <w:pStyle w:val="Listenabsatz"/>
        <w:numPr>
          <w:ilvl w:val="0"/>
          <w:numId w:val="16"/>
        </w:numPr>
        <w:spacing w:before="60" w:after="60"/>
        <w:jc w:val="both"/>
        <w:rPr>
          <w:color w:val="auto"/>
          <w:lang w:val="en-US"/>
        </w:rPr>
      </w:pPr>
      <w:r w:rsidRPr="000010A9">
        <w:rPr>
          <w:color w:val="auto"/>
          <w:lang w:val="en-US"/>
        </w:rPr>
        <w:t xml:space="preserve">The current prices are published </w:t>
      </w:r>
      <w:hyperlink r:id="rId8" w:history="1">
        <w:r w:rsidR="008D60DA" w:rsidRPr="00C744A3">
          <w:rPr>
            <w:rStyle w:val="Hyperlink"/>
            <w:lang w:val="en-US"/>
          </w:rPr>
          <w:t>http://fcs.wfs.aero/en/service/downloads-and-information.html</w:t>
        </w:r>
      </w:hyperlink>
      <w:r w:rsidR="008D60DA">
        <w:rPr>
          <w:color w:val="auto"/>
          <w:lang w:val="en-US"/>
        </w:rPr>
        <w:t xml:space="preserve"> </w:t>
      </w:r>
      <w:r w:rsidRPr="000010A9">
        <w:rPr>
          <w:lang w:val="en-US"/>
        </w:rPr>
        <w:t xml:space="preserve"> or can be requested by phone at number +49 (0)69 690 29554 or by e-mail at </w:t>
      </w:r>
      <w:hyperlink r:id="rId9" w:history="1">
        <w:r w:rsidR="00576D4C" w:rsidRPr="00333862">
          <w:rPr>
            <w:rStyle w:val="Hyperlink"/>
            <w:lang w:val="en-US"/>
          </w:rPr>
          <w:t>info@fcs.wfs.aero</w:t>
        </w:r>
      </w:hyperlink>
      <w:r w:rsidRPr="000010A9">
        <w:rPr>
          <w:lang w:val="en-US"/>
        </w:rPr>
        <w:t xml:space="preserve">. </w:t>
      </w:r>
    </w:p>
    <w:p w:rsidR="0065126B" w:rsidRPr="000010A9" w:rsidRDefault="00356133" w:rsidP="00263B23">
      <w:pPr>
        <w:pStyle w:val="Listenabsatz"/>
        <w:numPr>
          <w:ilvl w:val="0"/>
          <w:numId w:val="16"/>
        </w:numPr>
        <w:spacing w:before="60" w:after="60"/>
        <w:ind w:left="284" w:hanging="284"/>
        <w:jc w:val="both"/>
        <w:rPr>
          <w:color w:val="auto"/>
          <w:lang w:val="en-US"/>
        </w:rPr>
      </w:pPr>
      <w:r w:rsidRPr="000010A9">
        <w:rPr>
          <w:color w:val="auto"/>
          <w:lang w:val="en-US"/>
        </w:rPr>
        <w:t xml:space="preserve">The German version of the terms and conditions of </w:t>
      </w:r>
      <w:r w:rsidR="00576D4C">
        <w:rPr>
          <w:color w:val="auto"/>
          <w:lang w:val="en-US"/>
        </w:rPr>
        <w:t>FCS Frankfurt Cargo Services</w:t>
      </w:r>
      <w:r w:rsidRPr="000010A9">
        <w:rPr>
          <w:color w:val="auto"/>
          <w:lang w:val="en-US"/>
        </w:rPr>
        <w:t xml:space="preserve"> is applicable (pages 2 – 4).</w:t>
      </w:r>
    </w:p>
    <w:p w:rsidR="008B3746" w:rsidRPr="00576D4C" w:rsidRDefault="000010A9" w:rsidP="008B3746">
      <w:pPr>
        <w:pStyle w:val="Listenabsatz"/>
        <w:numPr>
          <w:ilvl w:val="0"/>
          <w:numId w:val="16"/>
        </w:numPr>
        <w:spacing w:before="60" w:after="60"/>
        <w:ind w:left="284" w:hanging="284"/>
        <w:jc w:val="both"/>
        <w:rPr>
          <w:color w:val="auto"/>
          <w:lang w:val="en-US"/>
        </w:rPr>
      </w:pPr>
      <w:r w:rsidRPr="000010A9">
        <w:rPr>
          <w:color w:val="auto"/>
          <w:lang w:val="en-US"/>
        </w:rPr>
        <w:t xml:space="preserve">The ordering company holds </w:t>
      </w:r>
      <w:r w:rsidR="00576D4C">
        <w:rPr>
          <w:color w:val="auto"/>
          <w:lang w:val="en-US"/>
        </w:rPr>
        <w:t>FCS Frankfurt Cargo Services</w:t>
      </w:r>
      <w:r w:rsidRPr="000010A9">
        <w:rPr>
          <w:color w:val="auto"/>
          <w:lang w:val="en-US"/>
        </w:rPr>
        <w:t xml:space="preserve"> harmless from any liability for opening the shipment and confirms by company stamp and signature to take over all costs related to the security check.</w:t>
      </w:r>
    </w:p>
    <w:p w:rsidR="0065126B" w:rsidRPr="00D24373" w:rsidRDefault="000010A9" w:rsidP="00263B23">
      <w:pPr>
        <w:tabs>
          <w:tab w:val="left" w:pos="4678"/>
        </w:tabs>
        <w:spacing w:before="60" w:after="60"/>
        <w:jc w:val="both"/>
        <w:rPr>
          <w:b/>
          <w:color w:val="auto"/>
          <w:lang w:val="en-US"/>
        </w:rPr>
      </w:pPr>
      <w:r w:rsidRPr="000010A9">
        <w:rPr>
          <w:b/>
          <w:color w:val="auto"/>
          <w:lang w:val="en-US"/>
        </w:rPr>
        <w:t>Ordering company</w:t>
      </w:r>
      <w:r w:rsidR="00D24373" w:rsidRPr="00D24373">
        <w:rPr>
          <w:b/>
          <w:color w:val="auto"/>
          <w:lang w:val="en-US"/>
        </w:rPr>
        <w:t>:</w:t>
      </w:r>
      <w:r w:rsidR="00D24373">
        <w:rPr>
          <w:b/>
          <w:color w:val="auto"/>
          <w:lang w:val="en-US"/>
        </w:rPr>
        <w:tab/>
      </w:r>
      <w:r w:rsidR="00DD40DC">
        <w:rPr>
          <w:b/>
          <w:color w:val="auto"/>
          <w:lang w:val="en-US"/>
        </w:rPr>
        <w:t>Aviation</w:t>
      </w:r>
      <w:r w:rsidR="006D5245" w:rsidRPr="006D5245">
        <w:rPr>
          <w:b/>
          <w:color w:val="auto"/>
          <w:lang w:val="en-US"/>
        </w:rPr>
        <w:t xml:space="preserve"> Security Control Agent</w:t>
      </w:r>
      <w:r w:rsidR="006D5245">
        <w:rPr>
          <w:b/>
          <w:color w:val="auto"/>
          <w:lang w:val="en-US"/>
        </w:rPr>
        <w:t xml:space="preserve"> (LSKK)</w:t>
      </w:r>
      <w:r w:rsidR="006D5245" w:rsidRPr="006D5245">
        <w:rPr>
          <w:b/>
          <w:color w:val="auto"/>
          <w:lang w:val="en-US"/>
        </w:rPr>
        <w:t>:</w:t>
      </w:r>
    </w:p>
    <w:tbl>
      <w:tblPr>
        <w:tblStyle w:val="Tabellenraster"/>
        <w:tblW w:w="0" w:type="auto"/>
        <w:tblLook w:val="04A0" w:firstRow="1" w:lastRow="0" w:firstColumn="1" w:lastColumn="0" w:noHBand="0" w:noVBand="1"/>
      </w:tblPr>
      <w:tblGrid>
        <w:gridCol w:w="4606"/>
        <w:gridCol w:w="4606"/>
      </w:tblGrid>
      <w:tr w:rsidR="0065126B" w:rsidTr="0065126B">
        <w:tc>
          <w:tcPr>
            <w:tcW w:w="4606" w:type="dxa"/>
          </w:tcPr>
          <w:p w:rsidR="0065126B" w:rsidRDefault="000010A9" w:rsidP="00263B23">
            <w:pPr>
              <w:spacing w:before="60" w:after="60"/>
              <w:jc w:val="both"/>
              <w:rPr>
                <w:color w:val="auto"/>
                <w:lang w:val="en-US"/>
              </w:rPr>
            </w:pPr>
            <w:r>
              <w:rPr>
                <w:i/>
                <w:color w:val="auto"/>
                <w:lang w:val="en-US"/>
              </w:rPr>
              <w:t>Company stamp</w:t>
            </w:r>
          </w:p>
          <w:p w:rsidR="0065126B" w:rsidRDefault="0065126B" w:rsidP="00263B23">
            <w:pPr>
              <w:spacing w:before="60" w:after="60"/>
              <w:jc w:val="both"/>
              <w:rPr>
                <w:color w:val="auto"/>
                <w:lang w:val="en-US"/>
              </w:rPr>
            </w:pPr>
          </w:p>
          <w:p w:rsidR="00263B23" w:rsidRDefault="00263B23" w:rsidP="00263B23">
            <w:pPr>
              <w:spacing w:before="60" w:after="60"/>
              <w:jc w:val="both"/>
              <w:rPr>
                <w:color w:val="auto"/>
                <w:lang w:val="en-US"/>
              </w:rPr>
            </w:pPr>
          </w:p>
          <w:p w:rsidR="0018079F" w:rsidRDefault="0018079F" w:rsidP="00263B23">
            <w:pPr>
              <w:spacing w:before="60" w:after="60"/>
              <w:jc w:val="both"/>
              <w:rPr>
                <w:color w:val="auto"/>
                <w:lang w:val="en-US"/>
              </w:rPr>
            </w:pPr>
          </w:p>
        </w:tc>
        <w:tc>
          <w:tcPr>
            <w:tcW w:w="4606" w:type="dxa"/>
          </w:tcPr>
          <w:p w:rsidR="0065126B" w:rsidRPr="000010A9" w:rsidRDefault="000010A9" w:rsidP="00263B23">
            <w:pPr>
              <w:spacing w:before="60" w:after="60"/>
              <w:jc w:val="both"/>
              <w:rPr>
                <w:i/>
                <w:color w:val="auto"/>
                <w:lang w:val="en-US"/>
              </w:rPr>
            </w:pPr>
            <w:r>
              <w:rPr>
                <w:i/>
                <w:color w:val="auto"/>
                <w:lang w:val="en-US"/>
              </w:rPr>
              <w:t>Security stamp</w:t>
            </w:r>
            <w:r w:rsidR="00D24373" w:rsidRPr="000010A9">
              <w:rPr>
                <w:i/>
                <w:color w:val="auto"/>
                <w:lang w:val="en-US"/>
              </w:rPr>
              <w:t xml:space="preserve"> </w:t>
            </w:r>
          </w:p>
        </w:tc>
      </w:tr>
      <w:tr w:rsidR="0065126B" w:rsidRPr="00476780" w:rsidTr="0065126B">
        <w:tc>
          <w:tcPr>
            <w:tcW w:w="4606" w:type="dxa"/>
          </w:tcPr>
          <w:p w:rsidR="0018079F" w:rsidRPr="0018079F" w:rsidRDefault="000010A9" w:rsidP="00263B23">
            <w:pPr>
              <w:spacing w:before="60" w:after="60"/>
              <w:jc w:val="both"/>
              <w:rPr>
                <w:i/>
                <w:color w:val="auto"/>
                <w:lang w:val="en-US"/>
              </w:rPr>
            </w:pPr>
            <w:r>
              <w:rPr>
                <w:i/>
                <w:color w:val="auto"/>
                <w:lang w:val="en-US"/>
              </w:rPr>
              <w:t>Name of the contact person</w:t>
            </w:r>
          </w:p>
          <w:p w:rsidR="00263B23" w:rsidRDefault="00263B23" w:rsidP="00263B23">
            <w:pPr>
              <w:spacing w:before="60" w:after="60"/>
              <w:jc w:val="both"/>
              <w:rPr>
                <w:b/>
                <w:lang w:val="en-US"/>
              </w:rPr>
            </w:pPr>
          </w:p>
          <w:p w:rsidR="0065126B" w:rsidRDefault="00CA6688" w:rsidP="00263B23">
            <w:pPr>
              <w:spacing w:before="60" w:after="60"/>
              <w:jc w:val="both"/>
              <w:rPr>
                <w:color w:val="auto"/>
                <w:lang w:val="en-US"/>
              </w:rPr>
            </w:pPr>
            <w:r>
              <w:rPr>
                <w:b/>
                <w:lang w:val="en-US"/>
              </w:rPr>
              <w:fldChar w:fldCharType="begin">
                <w:ffData>
                  <w:name w:val="Text1"/>
                  <w:enabled/>
                  <w:calcOnExit w:val="0"/>
                  <w:textInput/>
                </w:ffData>
              </w:fldChar>
            </w:r>
            <w:r w:rsidR="0065126B">
              <w:rPr>
                <w:b/>
                <w:lang w:val="en-US"/>
              </w:rPr>
              <w:instrText xml:space="preserve"> FORMTEXT </w:instrText>
            </w:r>
            <w:r>
              <w:rPr>
                <w:b/>
                <w:lang w:val="en-US"/>
              </w:rPr>
            </w:r>
            <w:r>
              <w:rPr>
                <w:b/>
                <w:lang w:val="en-US"/>
              </w:rPr>
              <w:fldChar w:fldCharType="separate"/>
            </w:r>
            <w:bookmarkStart w:id="6" w:name="_GoBack"/>
            <w:bookmarkEnd w:id="6"/>
            <w:r w:rsidR="0065126B">
              <w:rPr>
                <w:b/>
                <w:noProof/>
                <w:lang w:val="en-US"/>
              </w:rPr>
              <w:t> </w:t>
            </w:r>
            <w:r w:rsidR="0065126B">
              <w:rPr>
                <w:b/>
                <w:noProof/>
                <w:lang w:val="en-US"/>
              </w:rPr>
              <w:t> </w:t>
            </w:r>
            <w:r w:rsidR="0065126B">
              <w:rPr>
                <w:b/>
                <w:noProof/>
                <w:lang w:val="en-US"/>
              </w:rPr>
              <w:t> </w:t>
            </w:r>
            <w:r w:rsidR="0065126B">
              <w:rPr>
                <w:b/>
                <w:noProof/>
                <w:lang w:val="en-US"/>
              </w:rPr>
              <w:t> </w:t>
            </w:r>
            <w:r w:rsidR="0065126B">
              <w:rPr>
                <w:b/>
                <w:noProof/>
                <w:lang w:val="en-US"/>
              </w:rPr>
              <w:t> </w:t>
            </w:r>
            <w:r>
              <w:rPr>
                <w:b/>
                <w:lang w:val="en-US"/>
              </w:rPr>
              <w:fldChar w:fldCharType="end"/>
            </w:r>
          </w:p>
        </w:tc>
        <w:tc>
          <w:tcPr>
            <w:tcW w:w="4606" w:type="dxa"/>
          </w:tcPr>
          <w:p w:rsidR="0065126B" w:rsidRPr="000010A9" w:rsidRDefault="00D24373" w:rsidP="000010A9">
            <w:pPr>
              <w:spacing w:before="60" w:after="60"/>
              <w:jc w:val="both"/>
              <w:rPr>
                <w:i/>
                <w:color w:val="auto"/>
                <w:lang w:val="en-US"/>
              </w:rPr>
            </w:pPr>
            <w:r w:rsidRPr="000010A9">
              <w:rPr>
                <w:i/>
                <w:color w:val="auto"/>
                <w:lang w:val="en-US"/>
              </w:rPr>
              <w:t xml:space="preserve">Name </w:t>
            </w:r>
            <w:r w:rsidR="000010A9">
              <w:rPr>
                <w:i/>
                <w:color w:val="auto"/>
                <w:lang w:val="en-US"/>
              </w:rPr>
              <w:t>of security agent</w:t>
            </w:r>
            <w:r w:rsidRPr="000010A9">
              <w:rPr>
                <w:i/>
                <w:color w:val="auto"/>
                <w:lang w:val="en-US"/>
              </w:rPr>
              <w:t xml:space="preserve"> </w:t>
            </w:r>
          </w:p>
        </w:tc>
      </w:tr>
      <w:tr w:rsidR="0065126B" w:rsidTr="0065126B">
        <w:tc>
          <w:tcPr>
            <w:tcW w:w="4606" w:type="dxa"/>
          </w:tcPr>
          <w:p w:rsidR="0065126B" w:rsidRPr="0018079F" w:rsidRDefault="000010A9" w:rsidP="00263B23">
            <w:pPr>
              <w:spacing w:before="60" w:after="60"/>
              <w:jc w:val="both"/>
              <w:rPr>
                <w:i/>
                <w:color w:val="auto"/>
                <w:lang w:val="en-US"/>
              </w:rPr>
            </w:pPr>
            <w:r>
              <w:rPr>
                <w:i/>
                <w:color w:val="auto"/>
                <w:lang w:val="en-US"/>
              </w:rPr>
              <w:t>Date</w:t>
            </w:r>
          </w:p>
          <w:p w:rsidR="00263B23" w:rsidRDefault="00263B23" w:rsidP="00263B23">
            <w:pPr>
              <w:spacing w:before="60" w:after="60"/>
              <w:jc w:val="both"/>
              <w:rPr>
                <w:b/>
                <w:lang w:val="en-US"/>
              </w:rPr>
            </w:pPr>
          </w:p>
          <w:p w:rsidR="0065126B" w:rsidRDefault="00CA6688" w:rsidP="00263B23">
            <w:pPr>
              <w:spacing w:before="60" w:after="60"/>
              <w:jc w:val="both"/>
              <w:rPr>
                <w:color w:val="auto"/>
                <w:lang w:val="en-US"/>
              </w:rPr>
            </w:pPr>
            <w:r>
              <w:rPr>
                <w:b/>
                <w:lang w:val="en-US"/>
              </w:rPr>
              <w:fldChar w:fldCharType="begin">
                <w:ffData>
                  <w:name w:val="Text1"/>
                  <w:enabled/>
                  <w:calcOnExit w:val="0"/>
                  <w:textInput/>
                </w:ffData>
              </w:fldChar>
            </w:r>
            <w:r w:rsidR="0065126B">
              <w:rPr>
                <w:b/>
                <w:lang w:val="en-US"/>
              </w:rPr>
              <w:instrText xml:space="preserve"> FORMTEXT </w:instrText>
            </w:r>
            <w:r>
              <w:rPr>
                <w:b/>
                <w:lang w:val="en-US"/>
              </w:rPr>
            </w:r>
            <w:r>
              <w:rPr>
                <w:b/>
                <w:lang w:val="en-US"/>
              </w:rPr>
              <w:fldChar w:fldCharType="separate"/>
            </w:r>
            <w:r w:rsidR="0065126B">
              <w:rPr>
                <w:b/>
                <w:noProof/>
                <w:lang w:val="en-US"/>
              </w:rPr>
              <w:t> </w:t>
            </w:r>
            <w:r w:rsidR="0065126B">
              <w:rPr>
                <w:b/>
                <w:noProof/>
                <w:lang w:val="en-US"/>
              </w:rPr>
              <w:t> </w:t>
            </w:r>
            <w:r w:rsidR="0065126B">
              <w:rPr>
                <w:b/>
                <w:noProof/>
                <w:lang w:val="en-US"/>
              </w:rPr>
              <w:t> </w:t>
            </w:r>
            <w:r w:rsidR="0065126B">
              <w:rPr>
                <w:b/>
                <w:noProof/>
                <w:lang w:val="en-US"/>
              </w:rPr>
              <w:t> </w:t>
            </w:r>
            <w:r w:rsidR="0065126B">
              <w:rPr>
                <w:b/>
                <w:noProof/>
                <w:lang w:val="en-US"/>
              </w:rPr>
              <w:t> </w:t>
            </w:r>
            <w:r>
              <w:rPr>
                <w:b/>
                <w:lang w:val="en-US"/>
              </w:rPr>
              <w:fldChar w:fldCharType="end"/>
            </w:r>
          </w:p>
        </w:tc>
        <w:tc>
          <w:tcPr>
            <w:tcW w:w="4606" w:type="dxa"/>
          </w:tcPr>
          <w:p w:rsidR="00D24373" w:rsidRPr="000010A9" w:rsidRDefault="000010A9" w:rsidP="00263B23">
            <w:pPr>
              <w:spacing w:before="60" w:after="60"/>
              <w:jc w:val="both"/>
              <w:rPr>
                <w:color w:val="auto"/>
                <w:lang w:val="en-US"/>
              </w:rPr>
            </w:pPr>
            <w:r>
              <w:rPr>
                <w:i/>
                <w:color w:val="auto"/>
                <w:lang w:val="en-US"/>
              </w:rPr>
              <w:t>Date</w:t>
            </w:r>
          </w:p>
          <w:p w:rsidR="0065126B" w:rsidRPr="000010A9" w:rsidRDefault="0065126B" w:rsidP="00263B23">
            <w:pPr>
              <w:spacing w:before="60" w:after="60"/>
              <w:jc w:val="both"/>
              <w:rPr>
                <w:color w:val="auto"/>
                <w:lang w:val="en-US"/>
              </w:rPr>
            </w:pPr>
          </w:p>
        </w:tc>
      </w:tr>
      <w:tr w:rsidR="0065126B" w:rsidTr="0065126B">
        <w:tc>
          <w:tcPr>
            <w:tcW w:w="4606" w:type="dxa"/>
          </w:tcPr>
          <w:p w:rsidR="0065126B" w:rsidRPr="0018079F" w:rsidRDefault="000010A9" w:rsidP="00263B23">
            <w:pPr>
              <w:spacing w:before="60" w:after="60"/>
              <w:jc w:val="both"/>
              <w:rPr>
                <w:i/>
                <w:color w:val="auto"/>
                <w:lang w:val="en-US"/>
              </w:rPr>
            </w:pPr>
            <w:r>
              <w:rPr>
                <w:i/>
                <w:color w:val="auto"/>
                <w:lang w:val="en-US"/>
              </w:rPr>
              <w:t>Signature</w:t>
            </w:r>
          </w:p>
          <w:p w:rsidR="00263B23" w:rsidRDefault="00263B23" w:rsidP="00263B23">
            <w:pPr>
              <w:spacing w:before="60" w:after="60"/>
              <w:jc w:val="both"/>
              <w:rPr>
                <w:color w:val="auto"/>
                <w:lang w:val="en-US"/>
              </w:rPr>
            </w:pPr>
          </w:p>
        </w:tc>
        <w:tc>
          <w:tcPr>
            <w:tcW w:w="4606" w:type="dxa"/>
          </w:tcPr>
          <w:p w:rsidR="00D24373" w:rsidRPr="000010A9" w:rsidRDefault="000010A9" w:rsidP="00263B23">
            <w:pPr>
              <w:spacing w:before="60" w:after="60"/>
              <w:jc w:val="both"/>
              <w:rPr>
                <w:i/>
                <w:color w:val="auto"/>
                <w:lang w:val="en-US"/>
              </w:rPr>
            </w:pPr>
            <w:r>
              <w:rPr>
                <w:i/>
                <w:color w:val="auto"/>
                <w:lang w:val="en-US"/>
              </w:rPr>
              <w:t>Signature</w:t>
            </w:r>
          </w:p>
          <w:p w:rsidR="0065126B" w:rsidRPr="000010A9" w:rsidRDefault="0065126B" w:rsidP="00263B23">
            <w:pPr>
              <w:spacing w:before="60" w:after="60"/>
              <w:jc w:val="both"/>
              <w:rPr>
                <w:color w:val="auto"/>
                <w:lang w:val="en-US"/>
              </w:rPr>
            </w:pPr>
          </w:p>
        </w:tc>
      </w:tr>
    </w:tbl>
    <w:p w:rsidR="0018079F" w:rsidRPr="0018079F" w:rsidRDefault="0018079F" w:rsidP="00263B23">
      <w:pPr>
        <w:spacing w:before="60" w:after="60"/>
        <w:jc w:val="both"/>
        <w:rPr>
          <w:color w:val="auto"/>
        </w:rPr>
      </w:pPr>
    </w:p>
    <w:p w:rsidR="008D60DA" w:rsidRDefault="008D60DA">
      <w:pPr>
        <w:rPr>
          <w:rFonts w:ascii="Dax-Regular" w:hAnsi="Dax-Regular" w:cs="Arial"/>
          <w:b/>
          <w:bCs/>
          <w:sz w:val="16"/>
          <w:szCs w:val="16"/>
          <w:lang w:val="en-US"/>
        </w:rPr>
      </w:pPr>
      <w:r>
        <w:rPr>
          <w:rFonts w:ascii="Dax-Regular" w:hAnsi="Dax-Regular" w:cs="Arial"/>
          <w:b/>
          <w:bCs/>
          <w:sz w:val="16"/>
          <w:szCs w:val="16"/>
          <w:lang w:val="en-US"/>
        </w:rPr>
        <w:br w:type="page"/>
      </w:r>
    </w:p>
    <w:p w:rsidR="008D60DA" w:rsidRPr="008D60DA" w:rsidRDefault="008D60DA" w:rsidP="008D60DA">
      <w:pPr>
        <w:autoSpaceDE w:val="0"/>
        <w:autoSpaceDN w:val="0"/>
        <w:adjustRightInd w:val="0"/>
        <w:jc w:val="center"/>
        <w:rPr>
          <w:rFonts w:ascii="Dax-Regular" w:hAnsi="Dax-Regular" w:cs="Arial"/>
          <w:b/>
          <w:bCs/>
          <w:sz w:val="16"/>
          <w:szCs w:val="16"/>
          <w:lang w:val="en-US"/>
        </w:rPr>
      </w:pPr>
      <w:r w:rsidRPr="008D60DA">
        <w:rPr>
          <w:rFonts w:ascii="Dax-Regular" w:hAnsi="Dax-Regular" w:cs="Arial"/>
          <w:b/>
          <w:bCs/>
          <w:sz w:val="16"/>
          <w:szCs w:val="16"/>
          <w:lang w:val="en-US"/>
        </w:rPr>
        <w:lastRenderedPageBreak/>
        <w:t>GENERAL TERMS AND CONDITIONS OF BUSINESS</w:t>
      </w:r>
    </w:p>
    <w:p w:rsidR="008D60DA" w:rsidRPr="008D60DA" w:rsidRDefault="008D60DA" w:rsidP="008D60DA">
      <w:pPr>
        <w:jc w:val="center"/>
        <w:rPr>
          <w:rFonts w:ascii="Dax-Regular" w:hAnsi="Dax-Regular" w:cs="Arial"/>
          <w:sz w:val="16"/>
          <w:szCs w:val="16"/>
          <w:lang w:val="en-US"/>
        </w:rPr>
      </w:pPr>
      <w:r w:rsidRPr="008D60DA">
        <w:rPr>
          <w:rFonts w:ascii="Dax-Regular" w:hAnsi="Dax-Regular" w:cs="Arial"/>
          <w:sz w:val="16"/>
          <w:szCs w:val="16"/>
          <w:lang w:val="en-US"/>
        </w:rPr>
        <w:t>of FCS Frankfurt Cargo Services GmbH (abbreviated “FCS”) for handling services</w:t>
      </w:r>
    </w:p>
    <w:p w:rsidR="008D60DA" w:rsidRPr="008D60DA" w:rsidRDefault="008D60DA" w:rsidP="008D60DA">
      <w:pPr>
        <w:jc w:val="center"/>
        <w:rPr>
          <w:rFonts w:ascii="Dax-Regular" w:hAnsi="Dax-Regular" w:cs="Arial"/>
          <w:sz w:val="16"/>
          <w:szCs w:val="16"/>
          <w:lang w:val="en-US"/>
        </w:rPr>
      </w:pPr>
      <w:r w:rsidRPr="008D60DA">
        <w:rPr>
          <w:rFonts w:ascii="Dax-Regular" w:hAnsi="Dax-Regular" w:cs="Arial"/>
          <w:sz w:val="16"/>
          <w:szCs w:val="16"/>
          <w:lang w:val="en-US"/>
        </w:rPr>
        <w:t xml:space="preserve">Valid from: </w:t>
      </w:r>
      <w:r w:rsidR="00914F14">
        <w:rPr>
          <w:rFonts w:ascii="Dax-Regular" w:hAnsi="Dax-Regular" w:cs="Arial"/>
          <w:sz w:val="16"/>
          <w:szCs w:val="16"/>
          <w:lang w:val="en-US"/>
        </w:rPr>
        <w:t>7</w:t>
      </w:r>
      <w:r w:rsidR="00914F14" w:rsidRPr="00914F14">
        <w:rPr>
          <w:rFonts w:ascii="Dax-Regular" w:hAnsi="Dax-Regular" w:cs="Arial"/>
          <w:sz w:val="16"/>
          <w:szCs w:val="16"/>
          <w:vertAlign w:val="superscript"/>
          <w:lang w:val="en-US"/>
        </w:rPr>
        <w:t>th</w:t>
      </w:r>
      <w:r w:rsidR="00914F14">
        <w:rPr>
          <w:rFonts w:ascii="Dax-Regular" w:hAnsi="Dax-Regular" w:cs="Arial"/>
          <w:sz w:val="16"/>
          <w:szCs w:val="16"/>
          <w:lang w:val="en-US"/>
        </w:rPr>
        <w:t xml:space="preserve"> March 2017</w:t>
      </w:r>
    </w:p>
    <w:p w:rsidR="008D60DA" w:rsidRPr="008D60DA" w:rsidRDefault="008D60DA" w:rsidP="008D60DA">
      <w:pPr>
        <w:autoSpaceDE w:val="0"/>
        <w:autoSpaceDN w:val="0"/>
        <w:adjustRightInd w:val="0"/>
        <w:rPr>
          <w:rFonts w:ascii="Dax-Regular" w:hAnsi="Dax-Regular" w:cs="Arial"/>
          <w:b/>
          <w:sz w:val="16"/>
          <w:szCs w:val="16"/>
          <w:lang w:val="en-US"/>
        </w:rPr>
      </w:pPr>
    </w:p>
    <w:p w:rsidR="008D60DA" w:rsidRPr="008D60DA" w:rsidRDefault="008D60DA" w:rsidP="008D60DA">
      <w:pPr>
        <w:autoSpaceDE w:val="0"/>
        <w:autoSpaceDN w:val="0"/>
        <w:adjustRightInd w:val="0"/>
        <w:jc w:val="center"/>
        <w:rPr>
          <w:rFonts w:ascii="Dax-Regular" w:hAnsi="Dax-Regular" w:cs="Arial"/>
          <w:b/>
          <w:sz w:val="16"/>
          <w:szCs w:val="16"/>
          <w:lang w:val="en-US"/>
        </w:rPr>
      </w:pPr>
      <w:r w:rsidRPr="008D60DA">
        <w:rPr>
          <w:rFonts w:ascii="Dax-Regular" w:hAnsi="Dax-Regular" w:cs="Arial"/>
          <w:b/>
          <w:sz w:val="16"/>
          <w:szCs w:val="16"/>
          <w:lang w:val="en-US"/>
        </w:rPr>
        <w:t>Part I.</w:t>
      </w:r>
    </w:p>
    <w:p w:rsidR="008D60DA" w:rsidRPr="008D60DA" w:rsidRDefault="008D60DA" w:rsidP="008D60DA">
      <w:pPr>
        <w:autoSpaceDE w:val="0"/>
        <w:autoSpaceDN w:val="0"/>
        <w:adjustRightInd w:val="0"/>
        <w:jc w:val="center"/>
        <w:rPr>
          <w:rFonts w:ascii="Dax-Regular" w:hAnsi="Dax-Regular" w:cs="Arial"/>
          <w:b/>
          <w:sz w:val="16"/>
          <w:szCs w:val="16"/>
          <w:lang w:val="en-US"/>
        </w:rPr>
      </w:pPr>
      <w:r w:rsidRPr="008D60DA">
        <w:rPr>
          <w:rFonts w:ascii="Dax-Regular" w:hAnsi="Dax-Regular" w:cs="Arial"/>
          <w:b/>
          <w:sz w:val="16"/>
          <w:szCs w:val="16"/>
          <w:lang w:val="en-US"/>
        </w:rPr>
        <w:t>General provisions</w:t>
      </w:r>
    </w:p>
    <w:p w:rsidR="008D60DA" w:rsidRPr="008D60DA" w:rsidRDefault="008D60DA" w:rsidP="008D60DA">
      <w:pPr>
        <w:autoSpaceDE w:val="0"/>
        <w:autoSpaceDN w:val="0"/>
        <w:adjustRightInd w:val="0"/>
        <w:jc w:val="both"/>
        <w:rPr>
          <w:rFonts w:ascii="Dax-Regular" w:hAnsi="Dax-Regular" w:cs="Arial"/>
          <w:b/>
          <w:bCs/>
          <w:sz w:val="16"/>
          <w:szCs w:val="16"/>
          <w:lang w:val="en-US"/>
        </w:rPr>
      </w:pPr>
      <w:r w:rsidRPr="008D60DA">
        <w:rPr>
          <w:rFonts w:ascii="Dax-Regular" w:hAnsi="Dax-Regular" w:cs="Arial"/>
          <w:b/>
          <w:bCs/>
          <w:sz w:val="16"/>
          <w:szCs w:val="16"/>
          <w:lang w:val="en-US"/>
        </w:rPr>
        <w:t>§ 1 Scope of application</w:t>
      </w:r>
    </w:p>
    <w:p w:rsidR="008D60DA" w:rsidRPr="008D60DA" w:rsidRDefault="008D60DA" w:rsidP="008D60DA">
      <w:pPr>
        <w:autoSpaceDE w:val="0"/>
        <w:autoSpaceDN w:val="0"/>
        <w:adjustRightInd w:val="0"/>
        <w:jc w:val="both"/>
        <w:rPr>
          <w:rFonts w:ascii="Dax-Regular" w:hAnsi="Dax-Regular" w:cs="Arial"/>
          <w:sz w:val="16"/>
          <w:szCs w:val="16"/>
          <w:lang w:val="en-US"/>
        </w:rPr>
      </w:pPr>
      <w:r w:rsidRPr="008D60DA">
        <w:rPr>
          <w:rFonts w:ascii="Dax-Regular" w:hAnsi="Dax-Regular" w:cs="Arial"/>
          <w:sz w:val="16"/>
          <w:szCs w:val="16"/>
          <w:lang w:val="en-US"/>
        </w:rPr>
        <w:t>These General Terms and Conditions of Business apply to all activities of FCS, particularly handling, transshipment, and storage of airfreight and special services performed in addition to or outside of an existing handling agreement. Nothing herein shall affect the applicability of non-waivable laws, particularly the Warsaw Convention and Montreal Convention, with regard to individual activities of FCS.</w:t>
      </w:r>
    </w:p>
    <w:p w:rsidR="008D60DA" w:rsidRPr="008D60DA" w:rsidRDefault="008D60DA" w:rsidP="008D60DA">
      <w:pPr>
        <w:autoSpaceDE w:val="0"/>
        <w:autoSpaceDN w:val="0"/>
        <w:adjustRightInd w:val="0"/>
        <w:rPr>
          <w:rFonts w:ascii="Dax-Regular" w:hAnsi="Dax-Regular" w:cs="Arial"/>
          <w:b/>
          <w:sz w:val="16"/>
          <w:szCs w:val="16"/>
          <w:lang w:val="en-US"/>
        </w:rPr>
      </w:pPr>
      <w:r w:rsidRPr="008D60DA">
        <w:rPr>
          <w:rFonts w:ascii="Dax-Regular" w:hAnsi="Dax-Regular" w:cs="Arial"/>
          <w:b/>
          <w:sz w:val="16"/>
          <w:szCs w:val="16"/>
          <w:lang w:val="en-US"/>
        </w:rPr>
        <w:t>§ 2 Scope of services performed by FCS</w:t>
      </w:r>
    </w:p>
    <w:p w:rsidR="008D60DA" w:rsidRPr="008D60DA" w:rsidRDefault="008D60DA" w:rsidP="008D60DA">
      <w:pPr>
        <w:numPr>
          <w:ilvl w:val="0"/>
          <w:numId w:val="17"/>
        </w:numPr>
        <w:tabs>
          <w:tab w:val="left" w:pos="284"/>
        </w:tabs>
        <w:autoSpaceDE w:val="0"/>
        <w:autoSpaceDN w:val="0"/>
        <w:adjustRightInd w:val="0"/>
        <w:ind w:left="0" w:firstLine="0"/>
        <w:jc w:val="both"/>
        <w:rPr>
          <w:rFonts w:ascii="Dax-Regular" w:hAnsi="Dax-Regular" w:cs="Arial"/>
          <w:color w:val="auto"/>
          <w:sz w:val="16"/>
          <w:szCs w:val="16"/>
          <w:lang w:val="en-US"/>
        </w:rPr>
      </w:pPr>
      <w:r w:rsidRPr="008D60DA">
        <w:rPr>
          <w:rFonts w:ascii="Dax-Regular" w:hAnsi="Dax-Regular" w:cs="Arial"/>
          <w:sz w:val="16"/>
          <w:szCs w:val="16"/>
          <w:lang w:val="en-US"/>
        </w:rPr>
        <w:t xml:space="preserve">FCS handles airfreight shipments at the Frankfurt am Main airport on behalf of airlines. Export airfreight is received by FCS, placed in interim storage, prepared for the flight both physically and in terms of documentation, and provided to the apron transportation service or prepared for transportation by other means of transportation than airfreight (e.g., truck transportation), as the case may be. Import airfreight is divided on a shipment basis after being accepted from the apron transportation service, placed in interim storage, and delivered to the consignee free warehouse ramp or transferred to the airlines that are to carry it onward. Consignments that are to be transported by truck instead of airfreight are handled accordingly. </w:t>
      </w:r>
      <w:r w:rsidRPr="008D60DA">
        <w:rPr>
          <w:rFonts w:ascii="Dax-Regular" w:hAnsi="Dax-Regular" w:cs="Arial"/>
          <w:color w:val="auto"/>
          <w:sz w:val="16"/>
          <w:szCs w:val="16"/>
          <w:lang w:val="en-US"/>
        </w:rPr>
        <w:t>The details of these handling services are stipulated in Part II of the General Terms and Conditions of Business.</w:t>
      </w:r>
    </w:p>
    <w:p w:rsidR="008D60DA" w:rsidRPr="008D60DA" w:rsidRDefault="008D60DA" w:rsidP="008D60DA">
      <w:pPr>
        <w:numPr>
          <w:ilvl w:val="0"/>
          <w:numId w:val="17"/>
        </w:numPr>
        <w:tabs>
          <w:tab w:val="left" w:pos="284"/>
        </w:tabs>
        <w:autoSpaceDE w:val="0"/>
        <w:autoSpaceDN w:val="0"/>
        <w:adjustRightInd w:val="0"/>
        <w:ind w:left="0" w:firstLine="0"/>
        <w:jc w:val="both"/>
        <w:rPr>
          <w:rFonts w:ascii="Dax-Regular" w:hAnsi="Dax-Regular" w:cs="Arial"/>
          <w:color w:val="auto"/>
          <w:sz w:val="16"/>
          <w:szCs w:val="16"/>
          <w:lang w:val="en-US"/>
        </w:rPr>
      </w:pPr>
      <w:r w:rsidRPr="008D60DA">
        <w:rPr>
          <w:rFonts w:ascii="Dax-Regular" w:hAnsi="Dax-Regular" w:cs="Arial"/>
          <w:sz w:val="16"/>
          <w:szCs w:val="16"/>
          <w:lang w:val="en-US"/>
        </w:rPr>
        <w:t xml:space="preserve">In addition to export and import handling for airlines, FCS also offers other services (special services) which have to be ordered separately. These other services encompass, in particular, division and commissioning activities, loading and unloading activities for truck transportation, if not a delivery on behalf of the airline under flight manifest, or other consignees, placement in storage as well as storage and removal from storage for non-Community goods in bonded warehousing on behalf of forwarding agents and other participants in the logistics chain. These other services also include acceptance, interim storage, and removal from storage of consignments that, contrary to prior determination, require reverse handling for various reasons of a physical and/or documentation-related nature. The other services offered by FCS are listed in detail in the </w:t>
      </w:r>
      <w:r w:rsidRPr="008D60DA">
        <w:rPr>
          <w:rFonts w:ascii="Dax-Regular" w:hAnsi="Dax-Regular" w:cs="Arial"/>
          <w:b/>
          <w:sz w:val="16"/>
          <w:szCs w:val="16"/>
          <w:lang w:val="en-US"/>
        </w:rPr>
        <w:t xml:space="preserve">list of services </w:t>
      </w:r>
      <w:r w:rsidRPr="008D60DA">
        <w:rPr>
          <w:rFonts w:ascii="Dax-Regular" w:hAnsi="Dax-Regular" w:cs="Arial"/>
          <w:sz w:val="16"/>
          <w:szCs w:val="16"/>
          <w:lang w:val="en-US"/>
        </w:rPr>
        <w:t xml:space="preserve">and are subject to extra charges. The list of services is a component of this agreement. It is posted on our website at </w:t>
      </w:r>
      <w:hyperlink r:id="rId10" w:history="1">
        <w:r w:rsidRPr="008D60DA">
          <w:rPr>
            <w:rStyle w:val="Hyperlink"/>
            <w:rFonts w:ascii="Dax-Regular" w:hAnsi="Dax-Regular" w:cs="Arial"/>
            <w:sz w:val="16"/>
            <w:szCs w:val="16"/>
            <w:lang w:val="en-US"/>
          </w:rPr>
          <w:t>www.fcs.wfs.aero</w:t>
        </w:r>
      </w:hyperlink>
      <w:r w:rsidRPr="008D60DA">
        <w:rPr>
          <w:rFonts w:ascii="Dax-Regular" w:hAnsi="Dax-Regular" w:cs="Arial"/>
          <w:sz w:val="16"/>
          <w:szCs w:val="16"/>
          <w:lang w:val="en-US"/>
        </w:rPr>
        <w:t xml:space="preserve">, under Service / Downloads. </w:t>
      </w:r>
      <w:r w:rsidRPr="008D60DA">
        <w:rPr>
          <w:rFonts w:ascii="Dax-Regular" w:hAnsi="Dax-Regular" w:cs="Arial"/>
          <w:color w:val="auto"/>
          <w:sz w:val="16"/>
          <w:szCs w:val="16"/>
          <w:lang w:val="en-US"/>
        </w:rPr>
        <w:t xml:space="preserve">The details of these handling services are stipulated in Part III of the General Terms and Conditions of Business. </w:t>
      </w:r>
    </w:p>
    <w:p w:rsidR="008D60DA" w:rsidRPr="008D60DA" w:rsidRDefault="008D60DA" w:rsidP="008D60DA">
      <w:pPr>
        <w:numPr>
          <w:ilvl w:val="0"/>
          <w:numId w:val="17"/>
        </w:numPr>
        <w:tabs>
          <w:tab w:val="left" w:pos="284"/>
        </w:tabs>
        <w:autoSpaceDE w:val="0"/>
        <w:autoSpaceDN w:val="0"/>
        <w:adjustRightInd w:val="0"/>
        <w:ind w:left="0" w:firstLine="0"/>
        <w:jc w:val="both"/>
        <w:rPr>
          <w:rFonts w:ascii="Dax-Regular" w:hAnsi="Dax-Regular" w:cs="Arial"/>
          <w:color w:val="auto"/>
          <w:sz w:val="16"/>
          <w:szCs w:val="16"/>
          <w:lang w:val="en-US"/>
        </w:rPr>
      </w:pPr>
      <w:r w:rsidRPr="008D60DA">
        <w:rPr>
          <w:rFonts w:ascii="Dax-Regular" w:hAnsi="Dax-Regular" w:cs="Arial"/>
          <w:color w:val="auto"/>
          <w:sz w:val="16"/>
          <w:szCs w:val="16"/>
          <w:lang w:val="en-US"/>
        </w:rPr>
        <w:t>If FCS performs services without explicit order according to point 2., and in doing so acts for the benefit of the responsible party who is in charge of performing the service, the according charges as listed in the list of service are charged.</w:t>
      </w:r>
    </w:p>
    <w:p w:rsidR="008D60DA" w:rsidRPr="008D60DA" w:rsidRDefault="008D60DA" w:rsidP="008D60DA">
      <w:pPr>
        <w:numPr>
          <w:ilvl w:val="0"/>
          <w:numId w:val="17"/>
        </w:numPr>
        <w:tabs>
          <w:tab w:val="left" w:pos="284"/>
        </w:tabs>
        <w:autoSpaceDE w:val="0"/>
        <w:autoSpaceDN w:val="0"/>
        <w:adjustRightInd w:val="0"/>
        <w:ind w:left="0" w:firstLine="0"/>
        <w:jc w:val="both"/>
        <w:rPr>
          <w:rFonts w:ascii="Dax-Regular" w:hAnsi="Dax-Regular" w:cs="Arial"/>
          <w:sz w:val="16"/>
          <w:szCs w:val="16"/>
          <w:lang w:val="en-US"/>
        </w:rPr>
      </w:pPr>
      <w:r w:rsidRPr="008D60DA">
        <w:rPr>
          <w:rFonts w:ascii="Dax-Regular" w:hAnsi="Dax-Regular" w:cs="Arial"/>
          <w:sz w:val="16"/>
          <w:szCs w:val="16"/>
          <w:lang w:val="en-US"/>
        </w:rPr>
        <w:t>FCS is entitled to have the service owed performed in whole or in part by third parties (subcontractors) or outside personnel.</w:t>
      </w:r>
    </w:p>
    <w:p w:rsidR="008D60DA" w:rsidRPr="008D60DA" w:rsidRDefault="008D60DA" w:rsidP="008D60DA">
      <w:pPr>
        <w:rPr>
          <w:rFonts w:ascii="Dax-Regular" w:hAnsi="Dax-Regular" w:cs="Arial"/>
          <w:b/>
          <w:color w:val="auto"/>
          <w:sz w:val="16"/>
          <w:szCs w:val="16"/>
          <w:lang w:val="en-US"/>
        </w:rPr>
      </w:pPr>
      <w:r w:rsidRPr="008D60DA">
        <w:rPr>
          <w:rFonts w:ascii="Dax-Regular" w:hAnsi="Dax-Regular" w:cs="Arial"/>
          <w:b/>
          <w:color w:val="auto"/>
          <w:sz w:val="16"/>
          <w:szCs w:val="16"/>
          <w:lang w:val="en-US"/>
        </w:rPr>
        <w:t>§ 3 Precedence of the General Terms and Conditions of Business of FCS</w:t>
      </w:r>
    </w:p>
    <w:p w:rsidR="008D60DA" w:rsidRPr="008D60DA" w:rsidRDefault="008D60DA" w:rsidP="008D60DA">
      <w:pPr>
        <w:jc w:val="both"/>
        <w:rPr>
          <w:rFonts w:ascii="Dax-Regular" w:hAnsi="Dax-Regular" w:cs="Arial"/>
          <w:color w:val="auto"/>
          <w:sz w:val="16"/>
          <w:szCs w:val="16"/>
          <w:lang w:val="en-US"/>
        </w:rPr>
      </w:pPr>
      <w:r w:rsidRPr="008D60DA">
        <w:rPr>
          <w:rFonts w:ascii="Dax-Regular" w:hAnsi="Dax-Regular" w:cs="Arial"/>
          <w:color w:val="auto"/>
          <w:sz w:val="16"/>
          <w:szCs w:val="16"/>
          <w:lang w:val="en-US"/>
        </w:rPr>
        <w:t>General terms and conditions of business of the customer do not apply, even if FCS does not expressly reject the application thereof.</w:t>
      </w:r>
    </w:p>
    <w:p w:rsidR="008D60DA" w:rsidRPr="008D60DA" w:rsidRDefault="008D60DA" w:rsidP="008D60DA">
      <w:pPr>
        <w:autoSpaceDE w:val="0"/>
        <w:autoSpaceDN w:val="0"/>
        <w:adjustRightInd w:val="0"/>
        <w:rPr>
          <w:rFonts w:ascii="Dax-Regular" w:hAnsi="Dax-Regular" w:cs="Arial"/>
          <w:b/>
          <w:color w:val="auto"/>
          <w:sz w:val="16"/>
          <w:szCs w:val="16"/>
          <w:lang w:val="en-US"/>
        </w:rPr>
      </w:pPr>
      <w:r w:rsidRPr="008D60DA">
        <w:rPr>
          <w:rFonts w:ascii="Dax-Regular" w:hAnsi="Dax-Regular" w:cs="Arial"/>
          <w:b/>
          <w:color w:val="auto"/>
          <w:sz w:val="16"/>
          <w:szCs w:val="16"/>
          <w:lang w:val="en-US"/>
        </w:rPr>
        <w:t>§ 4 General terms and conditions of payment; handling and warehousing fees, fees for special services</w:t>
      </w:r>
    </w:p>
    <w:p w:rsidR="008D60DA" w:rsidRPr="008D60DA" w:rsidRDefault="008D60DA" w:rsidP="008D60DA">
      <w:pPr>
        <w:numPr>
          <w:ilvl w:val="0"/>
          <w:numId w:val="18"/>
        </w:numPr>
        <w:tabs>
          <w:tab w:val="left" w:pos="284"/>
        </w:tabs>
        <w:autoSpaceDE w:val="0"/>
        <w:autoSpaceDN w:val="0"/>
        <w:adjustRightInd w:val="0"/>
        <w:ind w:left="0" w:firstLine="0"/>
        <w:jc w:val="both"/>
        <w:rPr>
          <w:rFonts w:ascii="Dax-Regular" w:hAnsi="Dax-Regular" w:cs="Arial"/>
          <w:color w:val="auto"/>
          <w:sz w:val="16"/>
          <w:szCs w:val="16"/>
          <w:lang w:val="en-US"/>
        </w:rPr>
      </w:pPr>
      <w:r w:rsidRPr="008D60DA">
        <w:rPr>
          <w:rFonts w:ascii="Dax-Regular" w:hAnsi="Dax-Regular" w:cs="Arial"/>
          <w:color w:val="auto"/>
          <w:sz w:val="16"/>
          <w:szCs w:val="16"/>
          <w:lang w:val="en-US"/>
        </w:rPr>
        <w:t>All payments rendered to FCS are additionally subject to value-added tax (VAT) at the then-applicable statutory rate.</w:t>
      </w:r>
    </w:p>
    <w:p w:rsidR="008D60DA" w:rsidRPr="008D60DA" w:rsidRDefault="008D60DA" w:rsidP="008D60DA">
      <w:pPr>
        <w:numPr>
          <w:ilvl w:val="0"/>
          <w:numId w:val="18"/>
        </w:numPr>
        <w:tabs>
          <w:tab w:val="left" w:pos="284"/>
        </w:tabs>
        <w:autoSpaceDE w:val="0"/>
        <w:autoSpaceDN w:val="0"/>
        <w:adjustRightInd w:val="0"/>
        <w:ind w:left="0" w:firstLine="0"/>
        <w:jc w:val="both"/>
        <w:rPr>
          <w:rFonts w:ascii="Dax-Regular" w:hAnsi="Dax-Regular" w:cs="Arial"/>
          <w:color w:val="auto"/>
          <w:sz w:val="16"/>
          <w:szCs w:val="16"/>
          <w:lang w:val="en-US"/>
        </w:rPr>
      </w:pPr>
      <w:r w:rsidRPr="008D60DA">
        <w:rPr>
          <w:rFonts w:ascii="Dax-Regular" w:hAnsi="Dax-Regular" w:cs="Arial"/>
          <w:color w:val="auto"/>
          <w:sz w:val="16"/>
          <w:szCs w:val="16"/>
          <w:lang w:val="en-US"/>
        </w:rPr>
        <w:t>All invoiced sums shall fall due for payment immediately after receipt of the invoice, without any deductions whatsoever. Cash payment may be demanded. If checks or bills of exchange are accepted, the claim is not considered settled until the payment is unconditionally credited to the account or effected, as the case may be.</w:t>
      </w:r>
    </w:p>
    <w:p w:rsidR="008D60DA" w:rsidRPr="008D60DA" w:rsidRDefault="008D60DA" w:rsidP="008D60DA">
      <w:pPr>
        <w:numPr>
          <w:ilvl w:val="0"/>
          <w:numId w:val="18"/>
        </w:numPr>
        <w:tabs>
          <w:tab w:val="left" w:pos="284"/>
        </w:tabs>
        <w:autoSpaceDE w:val="0"/>
        <w:autoSpaceDN w:val="0"/>
        <w:adjustRightInd w:val="0"/>
        <w:ind w:left="0" w:firstLine="0"/>
        <w:jc w:val="both"/>
        <w:rPr>
          <w:rFonts w:ascii="Dax-Regular" w:hAnsi="Dax-Regular" w:cs="Arial"/>
          <w:sz w:val="16"/>
          <w:szCs w:val="16"/>
          <w:lang w:val="en-US"/>
        </w:rPr>
      </w:pPr>
      <w:r w:rsidRPr="008D60DA">
        <w:rPr>
          <w:rFonts w:ascii="Dax-Regular" w:hAnsi="Dax-Regular" w:cs="Arial"/>
          <w:color w:val="auto"/>
          <w:sz w:val="16"/>
          <w:szCs w:val="16"/>
          <w:lang w:val="en-US"/>
        </w:rPr>
        <w:t>Counterclaims can only be offset against claims of FCS if the counterclaim has been acknowledged or determined with final,</w:t>
      </w:r>
      <w:r w:rsidRPr="008D60DA">
        <w:rPr>
          <w:rFonts w:ascii="Dax-Regular" w:hAnsi="Dax-Regular" w:cs="Arial"/>
          <w:sz w:val="16"/>
          <w:szCs w:val="16"/>
          <w:lang w:val="en-US"/>
        </w:rPr>
        <w:t xml:space="preserve"> binding legal force. Any right of withholding or retention can be exercised only if such right is based on a claim under the same contractual relationship and such claim has been acknowledged or determined with final, binding legal force.</w:t>
      </w:r>
    </w:p>
    <w:p w:rsidR="008D60DA" w:rsidRDefault="008D60DA" w:rsidP="008D60DA">
      <w:pPr>
        <w:numPr>
          <w:ilvl w:val="0"/>
          <w:numId w:val="18"/>
        </w:numPr>
        <w:tabs>
          <w:tab w:val="left" w:pos="284"/>
        </w:tabs>
        <w:autoSpaceDE w:val="0"/>
        <w:autoSpaceDN w:val="0"/>
        <w:adjustRightInd w:val="0"/>
        <w:ind w:left="0" w:firstLine="0"/>
        <w:jc w:val="both"/>
        <w:rPr>
          <w:rFonts w:ascii="Dax-Regular" w:hAnsi="Dax-Regular" w:cs="Arial"/>
          <w:color w:val="auto"/>
          <w:sz w:val="16"/>
          <w:szCs w:val="16"/>
          <w:lang w:val="en-US"/>
        </w:rPr>
      </w:pPr>
      <w:r w:rsidRPr="008D60DA">
        <w:rPr>
          <w:rFonts w:ascii="Dax-Regular" w:hAnsi="Dax-Regular" w:cs="Arial"/>
          <w:color w:val="auto"/>
          <w:sz w:val="16"/>
          <w:szCs w:val="16"/>
          <w:lang w:val="en-US"/>
        </w:rPr>
        <w:t xml:space="preserve">Handling and warehousing fees as well as fees for special services shall be in accordance with the provisions of the list of services of FCS, in the version thereof applicable at the time at which the contract in question is entered into. The list of services is a component of the General Terms and Conditions of Business of FCS. </w:t>
      </w:r>
    </w:p>
    <w:p w:rsidR="00914F14" w:rsidRPr="00914F14" w:rsidRDefault="00914F14" w:rsidP="00914F14">
      <w:pPr>
        <w:numPr>
          <w:ilvl w:val="0"/>
          <w:numId w:val="18"/>
        </w:numPr>
        <w:tabs>
          <w:tab w:val="left" w:pos="284"/>
        </w:tabs>
        <w:autoSpaceDE w:val="0"/>
        <w:autoSpaceDN w:val="0"/>
        <w:adjustRightInd w:val="0"/>
        <w:ind w:left="0" w:firstLine="0"/>
        <w:jc w:val="both"/>
        <w:rPr>
          <w:rFonts w:ascii="Dax-Regular" w:hAnsi="Dax-Regular" w:cs="Arial"/>
          <w:color w:val="auto"/>
          <w:sz w:val="16"/>
          <w:szCs w:val="16"/>
          <w:lang w:val="en-US"/>
        </w:rPr>
      </w:pPr>
      <w:r w:rsidRPr="00914F14">
        <w:rPr>
          <w:rFonts w:ascii="Dax-Regular" w:hAnsi="Dax-Regular" w:cs="Arial"/>
          <w:color w:val="auto"/>
          <w:sz w:val="16"/>
          <w:szCs w:val="16"/>
          <w:lang w:val="en-US"/>
        </w:rPr>
        <w:t>If payment is delayed, FCS reserves the right to claim interest and damages for delay.</w:t>
      </w:r>
    </w:p>
    <w:p w:rsidR="008D60DA" w:rsidRPr="008D60DA" w:rsidRDefault="008D60DA" w:rsidP="008D60DA">
      <w:pPr>
        <w:autoSpaceDE w:val="0"/>
        <w:autoSpaceDN w:val="0"/>
        <w:adjustRightInd w:val="0"/>
        <w:rPr>
          <w:rFonts w:ascii="Dax-Regular" w:hAnsi="Dax-Regular" w:cs="Arial"/>
          <w:b/>
          <w:sz w:val="16"/>
          <w:szCs w:val="16"/>
          <w:lang w:val="en-US"/>
        </w:rPr>
      </w:pPr>
      <w:r w:rsidRPr="008D60DA">
        <w:rPr>
          <w:rFonts w:ascii="Dax-Regular" w:hAnsi="Dax-Regular" w:cs="Arial"/>
          <w:b/>
          <w:sz w:val="16"/>
          <w:szCs w:val="16"/>
          <w:lang w:val="en-US"/>
        </w:rPr>
        <w:t>§ 5 General principles</w:t>
      </w:r>
    </w:p>
    <w:p w:rsidR="008D60DA" w:rsidRPr="008D60DA" w:rsidRDefault="008D60DA" w:rsidP="008D60DA">
      <w:pPr>
        <w:numPr>
          <w:ilvl w:val="0"/>
          <w:numId w:val="19"/>
        </w:numPr>
        <w:tabs>
          <w:tab w:val="left" w:pos="284"/>
        </w:tabs>
        <w:autoSpaceDE w:val="0"/>
        <w:autoSpaceDN w:val="0"/>
        <w:adjustRightInd w:val="0"/>
        <w:ind w:left="0" w:firstLine="0"/>
        <w:jc w:val="both"/>
        <w:rPr>
          <w:rFonts w:ascii="Dax-Regular" w:hAnsi="Dax-Regular" w:cs="Arial"/>
          <w:color w:val="auto"/>
          <w:sz w:val="16"/>
          <w:szCs w:val="16"/>
          <w:lang w:val="en-US"/>
        </w:rPr>
      </w:pPr>
      <w:r w:rsidRPr="008D60DA">
        <w:rPr>
          <w:rFonts w:ascii="Dax-Regular" w:hAnsi="Dax-Regular" w:cs="Arial"/>
          <w:sz w:val="16"/>
          <w:szCs w:val="16"/>
          <w:lang w:val="en-US"/>
        </w:rPr>
        <w:t xml:space="preserve">The declarations made vis-à-vis FCS within the scope of placement of orders and order handling must be free of errors, complete, and truthful. The customer is therefore obligated to compensate FCS for any damage and/or loss sustained by FCS as a result of the customer having culpably made erroneous, incomplete, or untruthful declarations. Goods whose intrinsic qualities necessitate special handling, particularly goods falling under the </w:t>
      </w:r>
      <w:r w:rsidRPr="008D60DA">
        <w:rPr>
          <w:rFonts w:ascii="Dax-Regular" w:hAnsi="Dax-Regular" w:cs="Arial"/>
          <w:color w:val="auto"/>
          <w:sz w:val="16"/>
          <w:szCs w:val="16"/>
          <w:lang w:val="en-US"/>
        </w:rPr>
        <w:t>ICAO Dangerous Goods Regulations, refrigerated cargo, mortal remains, highly perishable and/or fragile goods, must be stated separately in the orders.</w:t>
      </w:r>
    </w:p>
    <w:p w:rsidR="008D60DA" w:rsidRPr="008D60DA" w:rsidRDefault="008D60DA" w:rsidP="008D60DA">
      <w:pPr>
        <w:numPr>
          <w:ilvl w:val="0"/>
          <w:numId w:val="19"/>
        </w:numPr>
        <w:tabs>
          <w:tab w:val="left" w:pos="284"/>
        </w:tabs>
        <w:autoSpaceDE w:val="0"/>
        <w:autoSpaceDN w:val="0"/>
        <w:adjustRightInd w:val="0"/>
        <w:ind w:left="0" w:firstLine="0"/>
        <w:jc w:val="both"/>
        <w:rPr>
          <w:rFonts w:ascii="Dax-Regular" w:hAnsi="Dax-Regular" w:cs="Arial"/>
          <w:color w:val="auto"/>
          <w:sz w:val="16"/>
          <w:szCs w:val="16"/>
          <w:lang w:val="en-US"/>
        </w:rPr>
      </w:pPr>
      <w:r w:rsidRPr="008D60DA">
        <w:rPr>
          <w:rFonts w:ascii="Dax-Regular" w:hAnsi="Dax-Regular" w:cs="Arial"/>
          <w:color w:val="auto"/>
          <w:sz w:val="16"/>
          <w:szCs w:val="16"/>
          <w:lang w:val="en-US"/>
        </w:rPr>
        <w:t>FCS is under no obligation to review the authenticity of signatures in written orders, assignments, instructions, or other written documents. The foregoing also applies to the relevant authorization of the signatory or bearer.</w:t>
      </w:r>
    </w:p>
    <w:p w:rsidR="008D60DA" w:rsidRPr="008D60DA" w:rsidRDefault="008D60DA" w:rsidP="008D60DA">
      <w:pPr>
        <w:numPr>
          <w:ilvl w:val="0"/>
          <w:numId w:val="19"/>
        </w:numPr>
        <w:tabs>
          <w:tab w:val="left" w:pos="284"/>
        </w:tabs>
        <w:autoSpaceDE w:val="0"/>
        <w:autoSpaceDN w:val="0"/>
        <w:adjustRightInd w:val="0"/>
        <w:ind w:left="0" w:firstLine="0"/>
        <w:jc w:val="both"/>
        <w:rPr>
          <w:rFonts w:ascii="Dax-Regular" w:hAnsi="Dax-Regular" w:cs="Arial"/>
          <w:sz w:val="16"/>
          <w:szCs w:val="16"/>
          <w:lang w:val="en-US"/>
        </w:rPr>
      </w:pPr>
      <w:r w:rsidRPr="008D60DA">
        <w:rPr>
          <w:rFonts w:ascii="Dax-Regular" w:hAnsi="Dax-Regular" w:cs="Arial"/>
          <w:sz w:val="16"/>
          <w:szCs w:val="16"/>
          <w:lang w:val="en-US"/>
        </w:rPr>
        <w:t>FCS may review, or have others review, at any time whether the weight, nature, intrinsic quality, and/or volume of the goods carried are in accordance with the information stated in the orders placed in that regard. FCS is not, however, under any obligation to do so. If the stated information turns out to be incorrect, the relevant contractual partner is required to bear the costs of the review.</w:t>
      </w:r>
    </w:p>
    <w:p w:rsidR="008D60DA" w:rsidRPr="008D60DA" w:rsidRDefault="008D60DA" w:rsidP="008D60DA">
      <w:pPr>
        <w:numPr>
          <w:ilvl w:val="0"/>
          <w:numId w:val="19"/>
        </w:numPr>
        <w:tabs>
          <w:tab w:val="left" w:pos="284"/>
        </w:tabs>
        <w:autoSpaceDE w:val="0"/>
        <w:autoSpaceDN w:val="0"/>
        <w:adjustRightInd w:val="0"/>
        <w:ind w:left="0" w:firstLine="0"/>
        <w:jc w:val="both"/>
        <w:rPr>
          <w:rFonts w:ascii="Dax-Regular" w:hAnsi="Dax-Regular" w:cs="Arial"/>
          <w:sz w:val="16"/>
          <w:szCs w:val="16"/>
          <w:lang w:val="en-US"/>
        </w:rPr>
      </w:pPr>
      <w:r w:rsidRPr="008D60DA">
        <w:rPr>
          <w:rFonts w:ascii="Dax-Regular" w:hAnsi="Dax-Regular" w:cs="Arial"/>
          <w:sz w:val="16"/>
          <w:szCs w:val="16"/>
          <w:lang w:val="en-US"/>
        </w:rPr>
        <w:t>Handling times depend on the relevant authorities with jurisdiction, including customs authorities, particularly in the case of cargo to be delivered. Handling times depend on the processing times of the authorities to be included in the handling process, especially customs authorities, particularly in the case of cargo to be delivered.</w:t>
      </w:r>
    </w:p>
    <w:p w:rsidR="008D60DA" w:rsidRPr="008D60DA" w:rsidRDefault="008D60DA" w:rsidP="008D60DA">
      <w:pPr>
        <w:numPr>
          <w:ilvl w:val="0"/>
          <w:numId w:val="19"/>
        </w:numPr>
        <w:tabs>
          <w:tab w:val="left" w:pos="284"/>
        </w:tabs>
        <w:autoSpaceDE w:val="0"/>
        <w:autoSpaceDN w:val="0"/>
        <w:adjustRightInd w:val="0"/>
        <w:ind w:left="0" w:firstLine="0"/>
        <w:jc w:val="both"/>
        <w:rPr>
          <w:rFonts w:ascii="Dax-Regular" w:hAnsi="Dax-Regular" w:cs="Arial"/>
          <w:sz w:val="16"/>
          <w:szCs w:val="16"/>
          <w:lang w:val="en-US"/>
        </w:rPr>
      </w:pPr>
      <w:r w:rsidRPr="008D60DA">
        <w:rPr>
          <w:rFonts w:ascii="Dax-Regular" w:hAnsi="Dax-Regular" w:cs="Arial"/>
          <w:sz w:val="16"/>
          <w:szCs w:val="16"/>
          <w:lang w:val="en-US"/>
        </w:rPr>
        <w:t>FCS is not obligated to accept goods that are not permitted for air transport or storage pursuant to the applicable statutory provisions unless special authorization from the Federal Aviation Office (Luftfahrt-Bundesamt) or the relevant authority with jurisdiction, as the case may be, is presented.</w:t>
      </w:r>
    </w:p>
    <w:p w:rsidR="008D60DA" w:rsidRPr="008D60DA" w:rsidRDefault="008D60DA" w:rsidP="008D60DA">
      <w:pPr>
        <w:autoSpaceDE w:val="0"/>
        <w:autoSpaceDN w:val="0"/>
        <w:adjustRightInd w:val="0"/>
        <w:rPr>
          <w:rFonts w:ascii="Dax-Regular" w:hAnsi="Dax-Regular" w:cs="Arial"/>
          <w:b/>
          <w:sz w:val="16"/>
          <w:szCs w:val="16"/>
          <w:lang w:val="en-US"/>
        </w:rPr>
      </w:pPr>
      <w:r w:rsidRPr="008D60DA">
        <w:rPr>
          <w:rFonts w:ascii="Dax-Regular" w:hAnsi="Dax-Regular" w:cs="Arial"/>
          <w:b/>
          <w:sz w:val="16"/>
          <w:szCs w:val="16"/>
          <w:lang w:val="en-US"/>
        </w:rPr>
        <w:t>§ 6 Handling of goods under customs law</w:t>
      </w:r>
    </w:p>
    <w:p w:rsidR="008D60DA" w:rsidRPr="008D60DA" w:rsidRDefault="008D60DA" w:rsidP="008D60DA">
      <w:pPr>
        <w:numPr>
          <w:ilvl w:val="0"/>
          <w:numId w:val="20"/>
        </w:numPr>
        <w:tabs>
          <w:tab w:val="left" w:pos="284"/>
        </w:tabs>
        <w:autoSpaceDE w:val="0"/>
        <w:autoSpaceDN w:val="0"/>
        <w:adjustRightInd w:val="0"/>
        <w:ind w:left="0" w:firstLine="0"/>
        <w:jc w:val="both"/>
        <w:rPr>
          <w:rFonts w:ascii="Dax-Regular" w:hAnsi="Dax-Regular" w:cs="Arial"/>
          <w:color w:val="auto"/>
          <w:sz w:val="16"/>
          <w:szCs w:val="16"/>
          <w:lang w:val="en-US"/>
        </w:rPr>
      </w:pPr>
      <w:r w:rsidRPr="008D60DA">
        <w:rPr>
          <w:rFonts w:ascii="Dax-Regular" w:hAnsi="Dax-Regular" w:cs="Arial"/>
          <w:color w:val="auto"/>
          <w:sz w:val="16"/>
          <w:szCs w:val="16"/>
          <w:lang w:val="en-US"/>
        </w:rPr>
        <w:t>For purposes of customs law, the goods temporarily taken into custody by FCS are considered either Community or non-Community goods.</w:t>
      </w:r>
    </w:p>
    <w:p w:rsidR="008D60DA" w:rsidRPr="008D60DA" w:rsidRDefault="008D60DA" w:rsidP="008D60DA">
      <w:pPr>
        <w:numPr>
          <w:ilvl w:val="0"/>
          <w:numId w:val="20"/>
        </w:numPr>
        <w:tabs>
          <w:tab w:val="left" w:pos="284"/>
        </w:tabs>
        <w:autoSpaceDE w:val="0"/>
        <w:autoSpaceDN w:val="0"/>
        <w:adjustRightInd w:val="0"/>
        <w:ind w:left="0" w:firstLine="0"/>
        <w:jc w:val="both"/>
        <w:rPr>
          <w:rFonts w:ascii="Dax-Regular" w:hAnsi="Dax-Regular" w:cs="Arial"/>
          <w:color w:val="auto"/>
          <w:sz w:val="16"/>
          <w:szCs w:val="16"/>
          <w:lang w:val="en-US"/>
        </w:rPr>
      </w:pPr>
      <w:r w:rsidRPr="008D60DA">
        <w:rPr>
          <w:rFonts w:ascii="Dax-Regular" w:hAnsi="Dax-Regular" w:cs="Arial"/>
          <w:color w:val="auto"/>
          <w:sz w:val="16"/>
          <w:szCs w:val="16"/>
          <w:lang w:val="en-US"/>
        </w:rPr>
        <w:t xml:space="preserve">In the case of import and transit consignments, the responsibility and liability of FCS vis-à-vis the customer under customs law ends upon proper surrender of the consignments to the party picking up such consignments. In the event of non-Community goods, such surrender presupposes an admissible </w:t>
      </w:r>
      <w:r w:rsidRPr="008D60DA">
        <w:rPr>
          <w:rFonts w:ascii="Dax-Regular" w:hAnsi="Dax-Regular" w:cs="Arial"/>
          <w:color w:val="auto"/>
          <w:sz w:val="16"/>
          <w:szCs w:val="16"/>
          <w:lang w:val="en-US" w:bidi="en-US"/>
        </w:rPr>
        <w:t>customs-approved treatment or use of goods pursuant to Article 48, 49 (1) (b) of the Community Customs Code. In this context, the customer is required to comply with all provisions of customs law and impose a corresponding obligation on any party engaged by the customer to pick up a consignment.</w:t>
      </w:r>
    </w:p>
    <w:p w:rsidR="008D60DA" w:rsidRPr="008D60DA" w:rsidRDefault="008D60DA" w:rsidP="008D60DA">
      <w:pPr>
        <w:numPr>
          <w:ilvl w:val="0"/>
          <w:numId w:val="20"/>
        </w:numPr>
        <w:tabs>
          <w:tab w:val="left" w:pos="284"/>
        </w:tabs>
        <w:autoSpaceDE w:val="0"/>
        <w:autoSpaceDN w:val="0"/>
        <w:adjustRightInd w:val="0"/>
        <w:ind w:left="0" w:firstLine="0"/>
        <w:jc w:val="both"/>
        <w:rPr>
          <w:rFonts w:ascii="Dax-Regular" w:hAnsi="Dax-Regular" w:cs="Arial"/>
          <w:color w:val="auto"/>
          <w:sz w:val="16"/>
          <w:szCs w:val="16"/>
          <w:lang w:val="en-US"/>
        </w:rPr>
      </w:pPr>
      <w:r w:rsidRPr="008D60DA">
        <w:rPr>
          <w:rFonts w:ascii="Dax-Regular" w:hAnsi="Dax-Regular" w:cs="Arial"/>
          <w:color w:val="auto"/>
          <w:sz w:val="16"/>
          <w:szCs w:val="16"/>
          <w:lang w:val="en-US"/>
        </w:rPr>
        <w:t>Should the customs authorities assert a claim on FCS in the case of complete units, incorrect statements in the flight manifest, or “aliud” goods (completely different goods), particularly a claim for payment of the customs debt, the customer is required to indemnify and hold harmless FCS from such claims and to reimburse any payments rendered by FCS.</w:t>
      </w:r>
    </w:p>
    <w:p w:rsidR="008D60DA" w:rsidRPr="008D60DA" w:rsidRDefault="008D60DA" w:rsidP="008D60DA">
      <w:pPr>
        <w:numPr>
          <w:ilvl w:val="0"/>
          <w:numId w:val="20"/>
        </w:numPr>
        <w:tabs>
          <w:tab w:val="left" w:pos="284"/>
        </w:tabs>
        <w:autoSpaceDE w:val="0"/>
        <w:autoSpaceDN w:val="0"/>
        <w:adjustRightInd w:val="0"/>
        <w:ind w:left="0" w:firstLine="0"/>
        <w:jc w:val="both"/>
        <w:rPr>
          <w:rFonts w:ascii="Dax-Regular" w:hAnsi="Dax-Regular" w:cs="Arial"/>
          <w:color w:val="auto"/>
          <w:sz w:val="16"/>
          <w:szCs w:val="16"/>
          <w:lang w:val="en-US"/>
        </w:rPr>
      </w:pPr>
      <w:r w:rsidRPr="008D60DA">
        <w:rPr>
          <w:rFonts w:ascii="Dax-Regular" w:hAnsi="Dax-Regular" w:cs="Arial"/>
          <w:color w:val="auto"/>
          <w:sz w:val="16"/>
          <w:szCs w:val="16"/>
          <w:lang w:val="en-US"/>
        </w:rPr>
        <w:t>In the case of export consignments (ready for carriage), the relevant customer or the freight forwarder responsible for customs clearance, as the case may be, shall bear exclusive responsibility under customs law.</w:t>
      </w:r>
    </w:p>
    <w:p w:rsidR="008D60DA" w:rsidRPr="008D60DA" w:rsidRDefault="008D60DA" w:rsidP="008D60DA">
      <w:pPr>
        <w:numPr>
          <w:ilvl w:val="0"/>
          <w:numId w:val="20"/>
        </w:numPr>
        <w:tabs>
          <w:tab w:val="left" w:pos="284"/>
        </w:tabs>
        <w:autoSpaceDE w:val="0"/>
        <w:autoSpaceDN w:val="0"/>
        <w:adjustRightInd w:val="0"/>
        <w:ind w:left="0" w:firstLine="0"/>
        <w:jc w:val="both"/>
        <w:rPr>
          <w:rFonts w:ascii="Dax-Regular" w:hAnsi="Dax-Regular" w:cs="Arial"/>
          <w:color w:val="auto"/>
          <w:sz w:val="16"/>
          <w:szCs w:val="16"/>
          <w:lang w:val="en-US"/>
        </w:rPr>
      </w:pPr>
      <w:r w:rsidRPr="008D60DA">
        <w:rPr>
          <w:rFonts w:ascii="Dax-Regular" w:hAnsi="Dax-Regular" w:cs="Arial"/>
          <w:color w:val="auto"/>
          <w:sz w:val="16"/>
          <w:szCs w:val="16"/>
          <w:lang w:val="en-US"/>
        </w:rPr>
        <w:t>In the case of intra-Community air transport, the airlines are required to observe Articles 444 and 445 of the Customs Code Implementing Provisions (CCIP).</w:t>
      </w:r>
    </w:p>
    <w:p w:rsidR="008D60DA" w:rsidRDefault="008D60DA" w:rsidP="008D60DA">
      <w:pPr>
        <w:autoSpaceDE w:val="0"/>
        <w:autoSpaceDN w:val="0"/>
        <w:adjustRightInd w:val="0"/>
        <w:jc w:val="both"/>
        <w:rPr>
          <w:rFonts w:ascii="Dax-Regular" w:hAnsi="Dax-Regular" w:cs="Arial"/>
          <w:color w:val="auto"/>
          <w:sz w:val="16"/>
          <w:szCs w:val="16"/>
          <w:lang w:val="en-US"/>
        </w:rPr>
      </w:pPr>
    </w:p>
    <w:p w:rsidR="008D60DA" w:rsidRDefault="008D60DA" w:rsidP="008D60DA">
      <w:pPr>
        <w:autoSpaceDE w:val="0"/>
        <w:autoSpaceDN w:val="0"/>
        <w:adjustRightInd w:val="0"/>
        <w:jc w:val="both"/>
        <w:rPr>
          <w:rFonts w:ascii="Dax-Regular" w:hAnsi="Dax-Regular" w:cs="Arial"/>
          <w:color w:val="auto"/>
          <w:sz w:val="16"/>
          <w:szCs w:val="16"/>
          <w:lang w:val="en-US"/>
        </w:rPr>
      </w:pPr>
    </w:p>
    <w:p w:rsidR="008D60DA" w:rsidRPr="008D60DA" w:rsidRDefault="008D60DA" w:rsidP="008D60DA">
      <w:pPr>
        <w:autoSpaceDE w:val="0"/>
        <w:autoSpaceDN w:val="0"/>
        <w:adjustRightInd w:val="0"/>
        <w:jc w:val="both"/>
        <w:rPr>
          <w:rFonts w:ascii="Dax-Regular" w:hAnsi="Dax-Regular" w:cs="Arial"/>
          <w:color w:val="auto"/>
          <w:sz w:val="16"/>
          <w:szCs w:val="16"/>
          <w:lang w:val="en-US"/>
        </w:rPr>
      </w:pPr>
    </w:p>
    <w:p w:rsidR="008D60DA" w:rsidRPr="008D60DA" w:rsidRDefault="008D60DA" w:rsidP="008D60DA">
      <w:pPr>
        <w:autoSpaceDE w:val="0"/>
        <w:autoSpaceDN w:val="0"/>
        <w:adjustRightInd w:val="0"/>
        <w:jc w:val="center"/>
        <w:rPr>
          <w:rFonts w:ascii="Dax-Regular" w:hAnsi="Dax-Regular" w:cs="Arial"/>
          <w:b/>
          <w:color w:val="auto"/>
          <w:sz w:val="16"/>
          <w:szCs w:val="16"/>
          <w:lang w:val="en-US"/>
        </w:rPr>
      </w:pPr>
      <w:r w:rsidRPr="008D60DA">
        <w:rPr>
          <w:rFonts w:ascii="Dax-Regular" w:hAnsi="Dax-Regular" w:cs="Arial"/>
          <w:b/>
          <w:color w:val="auto"/>
          <w:sz w:val="16"/>
          <w:szCs w:val="16"/>
          <w:lang w:val="en-US"/>
        </w:rPr>
        <w:t>Part II.</w:t>
      </w:r>
    </w:p>
    <w:p w:rsidR="008D60DA" w:rsidRPr="008D60DA" w:rsidRDefault="008D60DA" w:rsidP="008D60DA">
      <w:pPr>
        <w:autoSpaceDE w:val="0"/>
        <w:autoSpaceDN w:val="0"/>
        <w:adjustRightInd w:val="0"/>
        <w:jc w:val="center"/>
        <w:rPr>
          <w:rFonts w:ascii="Dax-Regular" w:hAnsi="Dax-Regular" w:cs="Arial"/>
          <w:b/>
          <w:sz w:val="16"/>
          <w:szCs w:val="16"/>
          <w:lang w:val="en-US"/>
        </w:rPr>
      </w:pPr>
      <w:r w:rsidRPr="008D60DA">
        <w:rPr>
          <w:rFonts w:ascii="Dax-Regular" w:hAnsi="Dax-Regular" w:cs="Arial"/>
          <w:b/>
          <w:sz w:val="16"/>
          <w:szCs w:val="16"/>
          <w:lang w:val="en-US"/>
        </w:rPr>
        <w:t>Acceptance, storage and transshipment of export and import consignments on behalf of airlines</w:t>
      </w:r>
    </w:p>
    <w:p w:rsidR="008D60DA" w:rsidRPr="008D60DA" w:rsidRDefault="008D60DA" w:rsidP="008D60DA">
      <w:pPr>
        <w:autoSpaceDE w:val="0"/>
        <w:autoSpaceDN w:val="0"/>
        <w:adjustRightInd w:val="0"/>
        <w:rPr>
          <w:rFonts w:ascii="Dax-Regular" w:hAnsi="Dax-Regular" w:cs="Arial"/>
          <w:b/>
          <w:sz w:val="16"/>
          <w:szCs w:val="16"/>
          <w:lang w:val="en-US"/>
        </w:rPr>
      </w:pPr>
      <w:r w:rsidRPr="008D60DA">
        <w:rPr>
          <w:rFonts w:ascii="Dax-Regular" w:hAnsi="Dax-Regular" w:cs="Arial"/>
          <w:b/>
          <w:sz w:val="16"/>
          <w:szCs w:val="16"/>
          <w:lang w:val="en-US"/>
        </w:rPr>
        <w:t>§ 1 General rights and obligations</w:t>
      </w:r>
    </w:p>
    <w:p w:rsidR="008D60DA" w:rsidRPr="008D60DA" w:rsidRDefault="008D60DA" w:rsidP="008D60DA">
      <w:pPr>
        <w:numPr>
          <w:ilvl w:val="0"/>
          <w:numId w:val="21"/>
        </w:numPr>
        <w:tabs>
          <w:tab w:val="left" w:pos="284"/>
        </w:tabs>
        <w:autoSpaceDE w:val="0"/>
        <w:autoSpaceDN w:val="0"/>
        <w:adjustRightInd w:val="0"/>
        <w:ind w:left="0" w:firstLine="0"/>
        <w:jc w:val="both"/>
        <w:rPr>
          <w:rFonts w:ascii="Dax-Regular" w:hAnsi="Dax-Regular" w:cs="Arial"/>
          <w:sz w:val="16"/>
          <w:szCs w:val="16"/>
          <w:lang w:val="en-US"/>
        </w:rPr>
      </w:pPr>
      <w:r w:rsidRPr="008D60DA">
        <w:rPr>
          <w:rFonts w:ascii="Dax-Regular" w:hAnsi="Dax-Regular" w:cs="Arial"/>
          <w:sz w:val="16"/>
          <w:szCs w:val="16"/>
          <w:lang w:val="en-US"/>
        </w:rPr>
        <w:t>The airlines must provide their flight data, with all necessary information and instructions, to FCS as early and promptly as possible. In the case of delays, the airlines should, wherever possible, notify FCS promptly of their intended utilization of the services.</w:t>
      </w:r>
    </w:p>
    <w:p w:rsidR="008D60DA" w:rsidRPr="008D60DA" w:rsidRDefault="008D60DA" w:rsidP="008D60DA">
      <w:pPr>
        <w:numPr>
          <w:ilvl w:val="0"/>
          <w:numId w:val="21"/>
        </w:numPr>
        <w:tabs>
          <w:tab w:val="left" w:pos="284"/>
        </w:tabs>
        <w:autoSpaceDE w:val="0"/>
        <w:autoSpaceDN w:val="0"/>
        <w:adjustRightInd w:val="0"/>
        <w:ind w:left="0" w:firstLine="0"/>
        <w:jc w:val="both"/>
        <w:rPr>
          <w:rFonts w:ascii="Dax-Regular" w:hAnsi="Dax-Regular" w:cs="Arial"/>
          <w:sz w:val="16"/>
          <w:szCs w:val="16"/>
          <w:lang w:val="en-US"/>
        </w:rPr>
      </w:pPr>
      <w:r w:rsidRPr="008D60DA">
        <w:rPr>
          <w:rFonts w:ascii="Dax-Regular" w:hAnsi="Dax-Regular" w:cs="Arial"/>
          <w:sz w:val="16"/>
          <w:szCs w:val="16"/>
          <w:lang w:val="en-US"/>
        </w:rPr>
        <w:t>In the case of late flights by the airline, FCS reserves the right to give precedence to scheduled and announced flights in its handling activities.</w:t>
      </w:r>
    </w:p>
    <w:p w:rsidR="008D60DA" w:rsidRPr="008D60DA" w:rsidRDefault="008D60DA" w:rsidP="008D60DA">
      <w:pPr>
        <w:numPr>
          <w:ilvl w:val="0"/>
          <w:numId w:val="21"/>
        </w:numPr>
        <w:tabs>
          <w:tab w:val="left" w:pos="284"/>
        </w:tabs>
        <w:autoSpaceDE w:val="0"/>
        <w:autoSpaceDN w:val="0"/>
        <w:adjustRightInd w:val="0"/>
        <w:ind w:left="0" w:firstLine="0"/>
        <w:jc w:val="both"/>
        <w:rPr>
          <w:rFonts w:ascii="Dax-Regular" w:hAnsi="Dax-Regular" w:cs="Arial"/>
          <w:sz w:val="16"/>
          <w:szCs w:val="16"/>
          <w:lang w:val="en-US"/>
        </w:rPr>
      </w:pPr>
      <w:r w:rsidRPr="008D60DA">
        <w:rPr>
          <w:rFonts w:ascii="Dax-Regular" w:hAnsi="Dax-Regular" w:cs="Arial"/>
          <w:sz w:val="16"/>
          <w:szCs w:val="16"/>
          <w:lang w:val="en-US"/>
        </w:rPr>
        <w:t>Goods that have not been picked up by the consignee or authorized receiver within 20 days or whose acceptance has been refused or prevented will be handled by FCS in accordance with the provisions of customs law. All costs arising as a result thereof shall be charged to the airlines.</w:t>
      </w:r>
    </w:p>
    <w:p w:rsidR="008D60DA" w:rsidRPr="008D60DA" w:rsidRDefault="008D60DA" w:rsidP="008D60DA">
      <w:pPr>
        <w:numPr>
          <w:ilvl w:val="0"/>
          <w:numId w:val="21"/>
        </w:numPr>
        <w:tabs>
          <w:tab w:val="left" w:pos="284"/>
        </w:tabs>
        <w:autoSpaceDE w:val="0"/>
        <w:autoSpaceDN w:val="0"/>
        <w:adjustRightInd w:val="0"/>
        <w:ind w:left="0" w:firstLine="0"/>
        <w:jc w:val="both"/>
        <w:rPr>
          <w:rFonts w:ascii="Dax-Regular" w:hAnsi="Dax-Regular" w:cs="Arial"/>
          <w:sz w:val="16"/>
          <w:szCs w:val="16"/>
          <w:lang w:val="en-US"/>
        </w:rPr>
      </w:pPr>
      <w:r w:rsidRPr="008D60DA">
        <w:rPr>
          <w:rFonts w:ascii="Dax-Regular" w:hAnsi="Dax-Regular" w:cs="Arial"/>
          <w:sz w:val="16"/>
          <w:szCs w:val="16"/>
          <w:lang w:val="en-US"/>
        </w:rPr>
        <w:t>Unless expressly agreed, FCS is not obligated to perform customs clearance for the airfreight goods or to fulfill other customs formalities.</w:t>
      </w:r>
    </w:p>
    <w:p w:rsidR="008D60DA" w:rsidRPr="008D60DA" w:rsidRDefault="008D60DA" w:rsidP="008D60DA">
      <w:pPr>
        <w:autoSpaceDE w:val="0"/>
        <w:autoSpaceDN w:val="0"/>
        <w:adjustRightInd w:val="0"/>
        <w:rPr>
          <w:rFonts w:ascii="Dax-Regular" w:hAnsi="Dax-Regular" w:cs="Arial"/>
          <w:b/>
          <w:sz w:val="16"/>
          <w:szCs w:val="16"/>
          <w:lang w:val="en-US"/>
        </w:rPr>
      </w:pPr>
      <w:r w:rsidRPr="008D60DA">
        <w:rPr>
          <w:rFonts w:ascii="Dax-Regular" w:hAnsi="Dax-Regular" w:cs="Arial"/>
          <w:b/>
          <w:sz w:val="16"/>
          <w:szCs w:val="16"/>
          <w:lang w:val="en-US"/>
        </w:rPr>
        <w:t>§ 2 Acceptance of airfreight goods</w:t>
      </w:r>
    </w:p>
    <w:p w:rsidR="008D60DA" w:rsidRPr="008D60DA" w:rsidRDefault="008D60DA" w:rsidP="008D60DA">
      <w:pPr>
        <w:numPr>
          <w:ilvl w:val="0"/>
          <w:numId w:val="22"/>
        </w:numPr>
        <w:tabs>
          <w:tab w:val="left" w:pos="284"/>
        </w:tabs>
        <w:autoSpaceDE w:val="0"/>
        <w:autoSpaceDN w:val="0"/>
        <w:adjustRightInd w:val="0"/>
        <w:ind w:left="0" w:firstLine="0"/>
        <w:jc w:val="both"/>
        <w:rPr>
          <w:rFonts w:ascii="Dax-Regular" w:hAnsi="Dax-Regular" w:cs="Arial"/>
          <w:color w:val="auto"/>
          <w:sz w:val="16"/>
          <w:szCs w:val="16"/>
          <w:lang w:val="en-US"/>
        </w:rPr>
      </w:pPr>
      <w:r w:rsidRPr="008D60DA">
        <w:rPr>
          <w:rFonts w:ascii="Dax-Regular" w:hAnsi="Dax-Regular" w:cs="Arial"/>
          <w:color w:val="auto"/>
          <w:sz w:val="16"/>
          <w:szCs w:val="16"/>
          <w:lang w:val="en-US"/>
        </w:rPr>
        <w:t>The party delivering the cargo must identify him- or herself by presenting his or her national ID or passport. Furthermore, all necessary freight documents, including the original air waybill, must be presented.</w:t>
      </w:r>
    </w:p>
    <w:p w:rsidR="008D60DA" w:rsidRPr="008D60DA" w:rsidRDefault="008D60DA" w:rsidP="008D60DA">
      <w:pPr>
        <w:numPr>
          <w:ilvl w:val="0"/>
          <w:numId w:val="22"/>
        </w:numPr>
        <w:tabs>
          <w:tab w:val="left" w:pos="284"/>
        </w:tabs>
        <w:autoSpaceDE w:val="0"/>
        <w:autoSpaceDN w:val="0"/>
        <w:adjustRightInd w:val="0"/>
        <w:ind w:left="0" w:firstLine="0"/>
        <w:jc w:val="both"/>
        <w:rPr>
          <w:rFonts w:ascii="Dax-Regular" w:hAnsi="Dax-Regular" w:cs="Arial"/>
          <w:color w:val="auto"/>
          <w:sz w:val="16"/>
          <w:szCs w:val="16"/>
          <w:lang w:val="en-US"/>
        </w:rPr>
      </w:pPr>
      <w:r w:rsidRPr="008D60DA">
        <w:rPr>
          <w:rFonts w:ascii="Dax-Regular" w:hAnsi="Dax-Regular" w:cs="Arial"/>
          <w:color w:val="auto"/>
          <w:sz w:val="16"/>
          <w:szCs w:val="16"/>
          <w:lang w:val="en-US"/>
        </w:rPr>
        <w:t>Delivery is free FCS-ramp or on the warehouse area when delivery at a truck gate.</w:t>
      </w:r>
    </w:p>
    <w:p w:rsidR="008D60DA" w:rsidRPr="008D60DA" w:rsidRDefault="008D60DA" w:rsidP="008D60DA">
      <w:pPr>
        <w:numPr>
          <w:ilvl w:val="0"/>
          <w:numId w:val="22"/>
        </w:numPr>
        <w:tabs>
          <w:tab w:val="left" w:pos="284"/>
        </w:tabs>
        <w:autoSpaceDE w:val="0"/>
        <w:autoSpaceDN w:val="0"/>
        <w:adjustRightInd w:val="0"/>
        <w:ind w:left="0" w:firstLine="0"/>
        <w:jc w:val="both"/>
        <w:rPr>
          <w:rFonts w:ascii="Dax-Regular" w:hAnsi="Dax-Regular" w:cs="Arial"/>
          <w:sz w:val="16"/>
          <w:szCs w:val="16"/>
          <w:lang w:val="en-US"/>
        </w:rPr>
      </w:pPr>
      <w:r w:rsidRPr="008D60DA">
        <w:rPr>
          <w:rFonts w:ascii="Dax-Regular" w:hAnsi="Dax-Regular" w:cs="Arial"/>
          <w:sz w:val="16"/>
          <w:szCs w:val="16"/>
          <w:lang w:val="en-US"/>
        </w:rPr>
        <w:t>If the airline requests special handling for certain goods, written notice thereof must be provided to FCS in due time before the goods are delivered. The foregoing provision does not apply to goods that obviously require special handling.</w:t>
      </w:r>
    </w:p>
    <w:p w:rsidR="008D60DA" w:rsidRPr="008D60DA" w:rsidRDefault="008D60DA" w:rsidP="008D60DA">
      <w:pPr>
        <w:numPr>
          <w:ilvl w:val="0"/>
          <w:numId w:val="22"/>
        </w:numPr>
        <w:tabs>
          <w:tab w:val="left" w:pos="284"/>
        </w:tabs>
        <w:autoSpaceDE w:val="0"/>
        <w:autoSpaceDN w:val="0"/>
        <w:adjustRightInd w:val="0"/>
        <w:ind w:left="0" w:firstLine="0"/>
        <w:jc w:val="both"/>
        <w:rPr>
          <w:rFonts w:ascii="Dax-Regular" w:hAnsi="Dax-Regular" w:cs="Arial"/>
          <w:sz w:val="16"/>
          <w:szCs w:val="16"/>
          <w:lang w:val="en-US"/>
        </w:rPr>
      </w:pPr>
      <w:r w:rsidRPr="008D60DA">
        <w:rPr>
          <w:rFonts w:ascii="Dax-Regular" w:hAnsi="Dax-Regular" w:cs="Arial"/>
          <w:sz w:val="16"/>
          <w:szCs w:val="16"/>
          <w:lang w:val="en-US"/>
        </w:rPr>
        <w:t>If the airline requests additional workers and/or materials for the acceptance of, or for its later handling of, freight shipments, and if such workers and/or materials are not required, or not required in full, FCS reserves the right to bill the costs arising therefrom to the airlines in addition to the other charges.</w:t>
      </w:r>
    </w:p>
    <w:p w:rsidR="008D60DA" w:rsidRPr="008D60DA" w:rsidRDefault="008D60DA" w:rsidP="008D60DA">
      <w:pPr>
        <w:numPr>
          <w:ilvl w:val="0"/>
          <w:numId w:val="22"/>
        </w:numPr>
        <w:tabs>
          <w:tab w:val="left" w:pos="284"/>
        </w:tabs>
        <w:autoSpaceDE w:val="0"/>
        <w:autoSpaceDN w:val="0"/>
        <w:adjustRightInd w:val="0"/>
        <w:ind w:left="0" w:firstLine="0"/>
        <w:jc w:val="both"/>
        <w:rPr>
          <w:rFonts w:ascii="Dax-Regular" w:hAnsi="Dax-Regular" w:cs="Arial"/>
          <w:sz w:val="16"/>
          <w:szCs w:val="16"/>
          <w:lang w:val="en-US"/>
        </w:rPr>
      </w:pPr>
      <w:r w:rsidRPr="008D60DA">
        <w:rPr>
          <w:rFonts w:ascii="Dax-Regular" w:hAnsi="Dax-Regular" w:cs="Arial"/>
          <w:sz w:val="16"/>
          <w:szCs w:val="16"/>
          <w:lang w:val="en-US"/>
        </w:rPr>
        <w:t>Upon acceptance of the goods delivered, FCS shall document only such defects as are outwardly apparent.</w:t>
      </w:r>
    </w:p>
    <w:p w:rsidR="008D60DA" w:rsidRPr="008D60DA" w:rsidRDefault="008D60DA" w:rsidP="008D60DA">
      <w:pPr>
        <w:autoSpaceDE w:val="0"/>
        <w:autoSpaceDN w:val="0"/>
        <w:adjustRightInd w:val="0"/>
        <w:rPr>
          <w:rFonts w:ascii="Dax-Regular" w:hAnsi="Dax-Regular" w:cs="Arial"/>
          <w:b/>
          <w:sz w:val="16"/>
          <w:szCs w:val="16"/>
          <w:lang w:val="en-US"/>
        </w:rPr>
      </w:pPr>
      <w:r w:rsidRPr="008D60DA">
        <w:rPr>
          <w:rFonts w:ascii="Dax-Regular" w:hAnsi="Dax-Regular" w:cs="Arial"/>
          <w:b/>
          <w:sz w:val="16"/>
          <w:szCs w:val="16"/>
          <w:lang w:val="en-US"/>
        </w:rPr>
        <w:t>§ 3 Delivery of airfreight</w:t>
      </w:r>
    </w:p>
    <w:p w:rsidR="008D60DA" w:rsidRPr="008D60DA" w:rsidRDefault="008D60DA" w:rsidP="008D60DA">
      <w:pPr>
        <w:numPr>
          <w:ilvl w:val="0"/>
          <w:numId w:val="23"/>
        </w:numPr>
        <w:tabs>
          <w:tab w:val="left" w:pos="284"/>
        </w:tabs>
        <w:autoSpaceDE w:val="0"/>
        <w:autoSpaceDN w:val="0"/>
        <w:adjustRightInd w:val="0"/>
        <w:ind w:left="0" w:firstLine="0"/>
        <w:jc w:val="both"/>
        <w:rPr>
          <w:rFonts w:ascii="Dax-Regular" w:hAnsi="Dax-Regular" w:cs="Arial"/>
          <w:color w:val="auto"/>
          <w:sz w:val="16"/>
          <w:szCs w:val="16"/>
          <w:lang w:val="en-US"/>
        </w:rPr>
      </w:pPr>
      <w:r w:rsidRPr="008D60DA">
        <w:rPr>
          <w:rFonts w:ascii="Dax-Regular" w:hAnsi="Dax-Regular" w:cs="Arial"/>
          <w:color w:val="auto"/>
          <w:sz w:val="16"/>
          <w:szCs w:val="16"/>
          <w:lang w:val="en-US"/>
        </w:rPr>
        <w:t>The party picking up the cargo must identify him- or herself by presenting his or her national</w:t>
      </w:r>
      <w:r w:rsidRPr="008D60DA">
        <w:rPr>
          <w:rFonts w:ascii="Dax-Regular" w:hAnsi="Dax-Regular" w:cs="Arial"/>
          <w:b/>
          <w:color w:val="FF0000"/>
          <w:sz w:val="16"/>
          <w:szCs w:val="16"/>
          <w:lang w:val="en-US"/>
        </w:rPr>
        <w:t xml:space="preserve"> </w:t>
      </w:r>
      <w:r w:rsidRPr="008D60DA">
        <w:rPr>
          <w:rFonts w:ascii="Dax-Regular" w:hAnsi="Dax-Regular" w:cs="Arial"/>
          <w:color w:val="auto"/>
          <w:sz w:val="16"/>
          <w:szCs w:val="16"/>
          <w:lang w:val="en-US"/>
        </w:rPr>
        <w:t>ID or passport, and in the event that such party is picking up the cargo for a third party, must also present a power of attorney identifying him or her as an authorized party. Furthermore, the necessary freight documents must be presented.</w:t>
      </w:r>
    </w:p>
    <w:p w:rsidR="008D60DA" w:rsidRPr="008D60DA" w:rsidRDefault="008D60DA" w:rsidP="008D60DA">
      <w:pPr>
        <w:numPr>
          <w:ilvl w:val="0"/>
          <w:numId w:val="23"/>
        </w:numPr>
        <w:tabs>
          <w:tab w:val="left" w:pos="284"/>
        </w:tabs>
        <w:autoSpaceDE w:val="0"/>
        <w:autoSpaceDN w:val="0"/>
        <w:adjustRightInd w:val="0"/>
        <w:ind w:left="0" w:firstLine="0"/>
        <w:jc w:val="both"/>
        <w:rPr>
          <w:rFonts w:ascii="Dax-Regular" w:hAnsi="Dax-Regular" w:cs="Arial"/>
          <w:sz w:val="16"/>
          <w:szCs w:val="16"/>
          <w:lang w:val="en-US"/>
        </w:rPr>
      </w:pPr>
      <w:r w:rsidRPr="008D60DA">
        <w:rPr>
          <w:rFonts w:ascii="Dax-Regular" w:hAnsi="Dax-Regular" w:cs="Arial"/>
          <w:sz w:val="16"/>
          <w:szCs w:val="16"/>
          <w:lang w:val="en-US"/>
        </w:rPr>
        <w:t>Delivery of cargo to the party picking up shall take place through FCS in the name of and for the account of the airline, free ex ramp. Furthermore, presentation of a delivery request approved by the customs authorities and the relevant airline or its authorized representative, or approval of the request in electronic form via the ATLAS customs system, as the case may be, is required.</w:t>
      </w:r>
    </w:p>
    <w:p w:rsidR="008D60DA" w:rsidRPr="008D60DA" w:rsidRDefault="008D60DA" w:rsidP="008D60DA">
      <w:pPr>
        <w:numPr>
          <w:ilvl w:val="0"/>
          <w:numId w:val="23"/>
        </w:numPr>
        <w:tabs>
          <w:tab w:val="left" w:pos="284"/>
        </w:tabs>
        <w:autoSpaceDE w:val="0"/>
        <w:autoSpaceDN w:val="0"/>
        <w:adjustRightInd w:val="0"/>
        <w:ind w:left="0" w:firstLine="0"/>
        <w:jc w:val="both"/>
        <w:rPr>
          <w:rFonts w:ascii="Dax-Regular" w:hAnsi="Dax-Regular" w:cs="Arial"/>
          <w:sz w:val="16"/>
          <w:szCs w:val="16"/>
          <w:lang w:val="en-US"/>
        </w:rPr>
      </w:pPr>
      <w:r w:rsidRPr="008D60DA">
        <w:rPr>
          <w:rFonts w:ascii="Dax-Regular" w:hAnsi="Dax-Regular" w:cs="Arial"/>
          <w:sz w:val="16"/>
          <w:szCs w:val="16"/>
          <w:lang w:val="en-US"/>
        </w:rPr>
        <w:t>FCS is authorized and empowered by the airline to collect payments due from the party picking up cargo from such party. If such payments are not rendered, FCS will not deliver the goods.</w:t>
      </w:r>
    </w:p>
    <w:p w:rsidR="008D60DA" w:rsidRPr="008D60DA" w:rsidRDefault="008D60DA" w:rsidP="008D60DA">
      <w:pPr>
        <w:numPr>
          <w:ilvl w:val="0"/>
          <w:numId w:val="23"/>
        </w:numPr>
        <w:tabs>
          <w:tab w:val="left" w:pos="284"/>
        </w:tabs>
        <w:autoSpaceDE w:val="0"/>
        <w:autoSpaceDN w:val="0"/>
        <w:adjustRightInd w:val="0"/>
        <w:ind w:left="0" w:firstLine="0"/>
        <w:jc w:val="both"/>
        <w:rPr>
          <w:rFonts w:ascii="Dax-Regular" w:hAnsi="Dax-Regular" w:cs="Arial"/>
          <w:sz w:val="16"/>
          <w:szCs w:val="16"/>
          <w:lang w:val="en-US"/>
        </w:rPr>
      </w:pPr>
      <w:r w:rsidRPr="008D60DA">
        <w:rPr>
          <w:rFonts w:ascii="Dax-Regular" w:hAnsi="Dax-Regular" w:cs="Arial"/>
          <w:sz w:val="16"/>
          <w:szCs w:val="16"/>
          <w:lang w:val="en-US"/>
        </w:rPr>
        <w:t>Freight shipments will be delivered to the party picking up the cargo in exchange for a receipt, which the party picking up the cargo is required to countersign.</w:t>
      </w:r>
    </w:p>
    <w:p w:rsidR="008D60DA" w:rsidRPr="008D60DA" w:rsidRDefault="008D60DA" w:rsidP="008D60DA">
      <w:pPr>
        <w:autoSpaceDE w:val="0"/>
        <w:autoSpaceDN w:val="0"/>
        <w:adjustRightInd w:val="0"/>
        <w:jc w:val="both"/>
        <w:rPr>
          <w:rFonts w:ascii="Dax-Regular" w:hAnsi="Dax-Regular" w:cs="Arial"/>
          <w:b/>
          <w:sz w:val="16"/>
          <w:szCs w:val="16"/>
          <w:lang w:val="en-US"/>
        </w:rPr>
      </w:pPr>
      <w:r w:rsidRPr="008D60DA">
        <w:rPr>
          <w:rFonts w:ascii="Dax-Regular" w:hAnsi="Dax-Regular" w:cs="Arial"/>
          <w:b/>
          <w:sz w:val="16"/>
          <w:szCs w:val="16"/>
          <w:lang w:val="en-US"/>
        </w:rPr>
        <w:t>§ 4 Liability</w:t>
      </w:r>
    </w:p>
    <w:p w:rsidR="008D60DA" w:rsidRPr="008D60DA" w:rsidRDefault="008D60DA" w:rsidP="008D60DA">
      <w:pPr>
        <w:numPr>
          <w:ilvl w:val="0"/>
          <w:numId w:val="24"/>
        </w:numPr>
        <w:tabs>
          <w:tab w:val="left" w:pos="284"/>
        </w:tabs>
        <w:autoSpaceDE w:val="0"/>
        <w:autoSpaceDN w:val="0"/>
        <w:adjustRightInd w:val="0"/>
        <w:ind w:left="0" w:firstLine="0"/>
        <w:jc w:val="both"/>
        <w:rPr>
          <w:rFonts w:ascii="Dax-Regular" w:hAnsi="Dax-Regular" w:cs="Arial"/>
          <w:sz w:val="16"/>
          <w:szCs w:val="16"/>
          <w:lang w:val="en-US"/>
        </w:rPr>
      </w:pPr>
      <w:r w:rsidRPr="008D60DA">
        <w:rPr>
          <w:rFonts w:ascii="Dax-Regular" w:hAnsi="Dax-Regular" w:cs="Arial"/>
          <w:sz w:val="16"/>
          <w:szCs w:val="16"/>
          <w:lang w:val="en-US"/>
        </w:rPr>
        <w:t xml:space="preserve">FCS is liable for any loss of life, bodily injury, or impairment of health for which it is responsible and in the event of any other damage or loss for which it or any member of its management is responsible due to intent or gross negligence. In the case of intent or gross negligence on the part of simple agents in the performance of the contractual obligations of FCS (its </w:t>
      </w:r>
      <w:r w:rsidRPr="008D60DA">
        <w:rPr>
          <w:rFonts w:ascii="Dax-Regular" w:hAnsi="Dax-Regular" w:cs="Arial"/>
          <w:i/>
          <w:sz w:val="16"/>
          <w:szCs w:val="16"/>
          <w:lang w:val="en-US"/>
        </w:rPr>
        <w:t>Erfüllungsgehilfen</w:t>
      </w:r>
      <w:r w:rsidRPr="008D60DA">
        <w:rPr>
          <w:rFonts w:ascii="Dax-Regular" w:hAnsi="Dax-Regular" w:cs="Arial"/>
          <w:sz w:val="16"/>
          <w:szCs w:val="16"/>
          <w:lang w:val="en-US"/>
        </w:rPr>
        <w:t>) and in the event of negligent violation of a cardinal obligation that jeopardizes the purpose of the contract, FCS is liable for compensation for the amount of damage or loss typically foreseeable in such cases. Cardinal contractual obligations are fundamental obligations that are material to the airline’s entry into the contract and in whose case the airline was able to trust that they would be fulfilled. In all other cases, the liability of FCS, its statutory representatives, or its agents in the performance of its contractual obligations (</w:t>
      </w:r>
      <w:r w:rsidRPr="008D60DA">
        <w:rPr>
          <w:rFonts w:ascii="Dax-Regular" w:hAnsi="Dax-Regular" w:cs="Arial"/>
          <w:i/>
          <w:sz w:val="16"/>
          <w:szCs w:val="16"/>
          <w:lang w:val="en-US"/>
        </w:rPr>
        <w:t>Erfüllungsgehilfen</w:t>
      </w:r>
      <w:r w:rsidRPr="008D60DA">
        <w:rPr>
          <w:rFonts w:ascii="Dax-Regular" w:hAnsi="Dax-Regular" w:cs="Arial"/>
          <w:sz w:val="16"/>
          <w:szCs w:val="16"/>
          <w:lang w:val="en-US"/>
        </w:rPr>
        <w:t>) is ruled out in the case of violation of an obligation through ordinary negligence.</w:t>
      </w:r>
    </w:p>
    <w:p w:rsidR="008D60DA" w:rsidRPr="008D60DA" w:rsidRDefault="008D60DA" w:rsidP="008D60DA">
      <w:pPr>
        <w:numPr>
          <w:ilvl w:val="0"/>
          <w:numId w:val="24"/>
        </w:numPr>
        <w:tabs>
          <w:tab w:val="left" w:pos="284"/>
        </w:tabs>
        <w:autoSpaceDE w:val="0"/>
        <w:autoSpaceDN w:val="0"/>
        <w:adjustRightInd w:val="0"/>
        <w:ind w:left="0" w:firstLine="0"/>
        <w:jc w:val="both"/>
        <w:rPr>
          <w:rFonts w:ascii="Dax-Regular" w:hAnsi="Dax-Regular" w:cs="Arial"/>
          <w:color w:val="auto"/>
          <w:sz w:val="16"/>
          <w:szCs w:val="16"/>
          <w:lang w:val="en-US"/>
        </w:rPr>
      </w:pPr>
      <w:r w:rsidRPr="008D60DA">
        <w:rPr>
          <w:rFonts w:ascii="Dax-Regular" w:hAnsi="Dax-Regular" w:cs="Arial"/>
          <w:color w:val="auto"/>
          <w:sz w:val="16"/>
          <w:szCs w:val="16"/>
          <w:lang w:val="en-US"/>
        </w:rPr>
        <w:t xml:space="preserve">The airline shall indemnify and hold harmless FCS and its </w:t>
      </w:r>
      <w:r w:rsidRPr="008D60DA">
        <w:rPr>
          <w:rFonts w:ascii="Dax-Regular" w:hAnsi="Dax-Regular" w:cs="Arial"/>
          <w:sz w:val="16"/>
          <w:szCs w:val="16"/>
          <w:lang w:val="en-US"/>
        </w:rPr>
        <w:t>statutory representatives and agents in the performance of its contractual obligations (</w:t>
      </w:r>
      <w:r w:rsidRPr="008D60DA">
        <w:rPr>
          <w:rFonts w:ascii="Dax-Regular" w:hAnsi="Dax-Regular" w:cs="Arial"/>
          <w:i/>
          <w:sz w:val="16"/>
          <w:szCs w:val="16"/>
          <w:lang w:val="en-US"/>
        </w:rPr>
        <w:t>Erfüllungsgehilfen</w:t>
      </w:r>
      <w:r w:rsidRPr="008D60DA">
        <w:rPr>
          <w:rFonts w:ascii="Dax-Regular" w:hAnsi="Dax-Regular" w:cs="Arial"/>
          <w:sz w:val="16"/>
          <w:szCs w:val="16"/>
          <w:lang w:val="en-US"/>
        </w:rPr>
        <w:t xml:space="preserve">) against all claims asserted by third parties in connection with services undertaken by FCS vis-à-vis the airline and for which FCS is not liable to the airline </w:t>
      </w:r>
      <w:r w:rsidRPr="008D60DA">
        <w:rPr>
          <w:rFonts w:ascii="Dax-Regular" w:hAnsi="Dax-Regular" w:cs="Arial"/>
          <w:i/>
          <w:sz w:val="16"/>
          <w:szCs w:val="16"/>
          <w:lang w:val="en-US"/>
        </w:rPr>
        <w:t>inter partes</w:t>
      </w:r>
      <w:r w:rsidRPr="008D60DA">
        <w:rPr>
          <w:rFonts w:ascii="Dax-Regular" w:hAnsi="Dax-Regular" w:cs="Arial"/>
          <w:sz w:val="16"/>
          <w:szCs w:val="16"/>
          <w:lang w:val="en-US"/>
        </w:rPr>
        <w:t>.</w:t>
      </w:r>
    </w:p>
    <w:p w:rsidR="008D60DA" w:rsidRPr="008D60DA" w:rsidRDefault="008D60DA" w:rsidP="008D60DA">
      <w:pPr>
        <w:numPr>
          <w:ilvl w:val="0"/>
          <w:numId w:val="24"/>
        </w:numPr>
        <w:tabs>
          <w:tab w:val="left" w:pos="284"/>
        </w:tabs>
        <w:autoSpaceDE w:val="0"/>
        <w:autoSpaceDN w:val="0"/>
        <w:adjustRightInd w:val="0"/>
        <w:ind w:left="0" w:firstLine="0"/>
        <w:jc w:val="both"/>
        <w:rPr>
          <w:rFonts w:ascii="Dax-Regular" w:hAnsi="Dax-Regular" w:cs="Arial"/>
          <w:color w:val="auto"/>
          <w:sz w:val="16"/>
          <w:szCs w:val="16"/>
          <w:lang w:val="en-US"/>
        </w:rPr>
      </w:pPr>
      <w:r w:rsidRPr="008D60DA">
        <w:rPr>
          <w:rFonts w:ascii="Dax-Regular" w:hAnsi="Dax-Regular" w:cs="Arial"/>
          <w:color w:val="auto"/>
          <w:sz w:val="16"/>
          <w:szCs w:val="16"/>
          <w:lang w:val="en-US"/>
        </w:rPr>
        <w:t>The liability of FCS is moreover limited in all cases, with regard to damage or losses sustained by third parties, to the amount of damage or loss for which the airline is required to render compensation to the third party based on the statutory provisions, particularly the Warsaw Convention and the Montreal Convention as well as the IATA Conditions of Carriage.</w:t>
      </w:r>
    </w:p>
    <w:p w:rsidR="008D60DA" w:rsidRPr="008D60DA" w:rsidRDefault="008D60DA" w:rsidP="008D60DA">
      <w:pPr>
        <w:autoSpaceDE w:val="0"/>
        <w:autoSpaceDN w:val="0"/>
        <w:adjustRightInd w:val="0"/>
        <w:jc w:val="both"/>
        <w:rPr>
          <w:rFonts w:ascii="Dax-Regular" w:hAnsi="Dax-Regular" w:cs="Arial"/>
          <w:color w:val="auto"/>
          <w:sz w:val="16"/>
          <w:szCs w:val="16"/>
          <w:lang w:val="en-US"/>
        </w:rPr>
      </w:pPr>
    </w:p>
    <w:p w:rsidR="008D60DA" w:rsidRPr="008D60DA" w:rsidRDefault="008D60DA" w:rsidP="008D60DA">
      <w:pPr>
        <w:autoSpaceDE w:val="0"/>
        <w:autoSpaceDN w:val="0"/>
        <w:adjustRightInd w:val="0"/>
        <w:jc w:val="center"/>
        <w:rPr>
          <w:rFonts w:ascii="Dax-Regular" w:hAnsi="Dax-Regular" w:cs="Arial"/>
          <w:b/>
          <w:sz w:val="16"/>
          <w:szCs w:val="16"/>
          <w:lang w:val="en-US"/>
        </w:rPr>
      </w:pPr>
      <w:r w:rsidRPr="008D60DA">
        <w:rPr>
          <w:rFonts w:ascii="Dax-Regular" w:hAnsi="Dax-Regular" w:cs="Arial"/>
          <w:b/>
          <w:sz w:val="16"/>
          <w:szCs w:val="16"/>
          <w:lang w:val="en-US"/>
        </w:rPr>
        <w:t>Part III.</w:t>
      </w:r>
    </w:p>
    <w:p w:rsidR="008D60DA" w:rsidRPr="008D60DA" w:rsidRDefault="008D60DA" w:rsidP="008D60DA">
      <w:pPr>
        <w:autoSpaceDE w:val="0"/>
        <w:autoSpaceDN w:val="0"/>
        <w:adjustRightInd w:val="0"/>
        <w:jc w:val="center"/>
        <w:rPr>
          <w:rFonts w:ascii="Dax-Regular" w:hAnsi="Dax-Regular" w:cs="Arial"/>
          <w:b/>
          <w:sz w:val="16"/>
          <w:szCs w:val="16"/>
          <w:lang w:val="en-US"/>
        </w:rPr>
      </w:pPr>
      <w:r w:rsidRPr="008D60DA">
        <w:rPr>
          <w:rFonts w:ascii="Dax-Regular" w:hAnsi="Dax-Regular" w:cs="Arial"/>
          <w:b/>
          <w:sz w:val="16"/>
          <w:szCs w:val="16"/>
          <w:lang w:val="en-US"/>
        </w:rPr>
        <w:t>Other services (special services)</w:t>
      </w:r>
    </w:p>
    <w:p w:rsidR="008D60DA" w:rsidRPr="008D60DA" w:rsidRDefault="008D60DA" w:rsidP="008D60DA">
      <w:pPr>
        <w:autoSpaceDE w:val="0"/>
        <w:autoSpaceDN w:val="0"/>
        <w:adjustRightInd w:val="0"/>
        <w:jc w:val="both"/>
        <w:rPr>
          <w:rFonts w:ascii="Dax-Regular" w:hAnsi="Dax-Regular" w:cs="Arial"/>
          <w:b/>
          <w:color w:val="auto"/>
          <w:sz w:val="16"/>
          <w:szCs w:val="16"/>
          <w:lang w:val="en-US"/>
        </w:rPr>
      </w:pPr>
      <w:r w:rsidRPr="008D60DA">
        <w:rPr>
          <w:rFonts w:ascii="Dax-Regular" w:hAnsi="Dax-Regular" w:cs="Arial"/>
          <w:b/>
          <w:color w:val="auto"/>
          <w:sz w:val="16"/>
          <w:szCs w:val="16"/>
          <w:lang w:val="en-US"/>
        </w:rPr>
        <w:t>§ 1 Other services</w:t>
      </w:r>
    </w:p>
    <w:p w:rsidR="008D60DA" w:rsidRPr="008D60DA" w:rsidRDefault="008D60DA" w:rsidP="008D60DA">
      <w:pPr>
        <w:numPr>
          <w:ilvl w:val="0"/>
          <w:numId w:val="25"/>
        </w:numPr>
        <w:tabs>
          <w:tab w:val="left" w:pos="284"/>
        </w:tabs>
        <w:autoSpaceDE w:val="0"/>
        <w:autoSpaceDN w:val="0"/>
        <w:adjustRightInd w:val="0"/>
        <w:ind w:left="0" w:firstLine="0"/>
        <w:jc w:val="both"/>
        <w:rPr>
          <w:rFonts w:ascii="Dax-Regular" w:hAnsi="Dax-Regular" w:cs="Arial"/>
          <w:color w:val="auto"/>
          <w:sz w:val="16"/>
          <w:szCs w:val="16"/>
          <w:lang w:val="en-US"/>
        </w:rPr>
      </w:pPr>
      <w:r w:rsidRPr="008D60DA">
        <w:rPr>
          <w:rFonts w:ascii="Dax-Regular" w:hAnsi="Dax-Regular" w:cs="Arial"/>
          <w:color w:val="auto"/>
          <w:sz w:val="16"/>
          <w:szCs w:val="16"/>
          <w:lang w:val="en-US"/>
        </w:rPr>
        <w:t>Freight transshipment, warehousing, and other services that are typically part of the freight forwarding trade and are no longer subject to an air transportation contract with the airline shall be handled, including storage, in accordance with the relevant provisions of the Allgemeine Deutsche Speditionsbedingungen (</w:t>
      </w:r>
      <w:r w:rsidRPr="008D60DA">
        <w:rPr>
          <w:rFonts w:ascii="Dax-Regular" w:hAnsi="Dax-Regular" w:cs="Arial"/>
          <w:b/>
          <w:color w:val="auto"/>
          <w:sz w:val="16"/>
          <w:szCs w:val="16"/>
          <w:lang w:val="en-US"/>
        </w:rPr>
        <w:t>ADSP</w:t>
      </w:r>
      <w:r w:rsidRPr="008D60DA">
        <w:rPr>
          <w:rFonts w:ascii="Dax-Regular" w:hAnsi="Dax-Regular" w:cs="Arial"/>
          <w:color w:val="auto"/>
          <w:sz w:val="16"/>
          <w:szCs w:val="16"/>
          <w:lang w:val="en-US"/>
        </w:rPr>
        <w:t xml:space="preserve">, German General Conditions for Forwarders), in the version of 2003. </w:t>
      </w:r>
    </w:p>
    <w:p w:rsidR="008D60DA" w:rsidRPr="008D60DA" w:rsidRDefault="008D60DA" w:rsidP="008D60DA">
      <w:pPr>
        <w:numPr>
          <w:ilvl w:val="0"/>
          <w:numId w:val="25"/>
        </w:numPr>
        <w:tabs>
          <w:tab w:val="left" w:pos="284"/>
        </w:tabs>
        <w:autoSpaceDE w:val="0"/>
        <w:autoSpaceDN w:val="0"/>
        <w:adjustRightInd w:val="0"/>
        <w:ind w:left="0" w:firstLine="0"/>
        <w:jc w:val="both"/>
        <w:rPr>
          <w:rFonts w:ascii="Dax-Regular" w:hAnsi="Dax-Regular" w:cs="Arial"/>
          <w:color w:val="auto"/>
          <w:sz w:val="16"/>
          <w:szCs w:val="16"/>
          <w:lang w:val="en-US"/>
        </w:rPr>
      </w:pPr>
      <w:r w:rsidRPr="008D60DA">
        <w:rPr>
          <w:rFonts w:ascii="Dax-Regular" w:hAnsi="Dax-Regular" w:cs="Arial"/>
          <w:color w:val="auto"/>
          <w:sz w:val="16"/>
          <w:szCs w:val="16"/>
          <w:lang w:val="en-US"/>
        </w:rPr>
        <w:t>The scope of the other services (special services) performed shall be documented by FCS in a work order.</w:t>
      </w:r>
    </w:p>
    <w:p w:rsidR="008D60DA" w:rsidRPr="008D60DA" w:rsidRDefault="008D60DA" w:rsidP="008D60DA">
      <w:pPr>
        <w:autoSpaceDE w:val="0"/>
        <w:autoSpaceDN w:val="0"/>
        <w:adjustRightInd w:val="0"/>
        <w:jc w:val="both"/>
        <w:rPr>
          <w:rFonts w:ascii="Dax-Regular" w:hAnsi="Dax-Regular" w:cs="Arial"/>
          <w:b/>
          <w:color w:val="auto"/>
          <w:sz w:val="16"/>
          <w:szCs w:val="16"/>
          <w:lang w:val="en-US"/>
        </w:rPr>
      </w:pPr>
      <w:r w:rsidRPr="008D60DA">
        <w:rPr>
          <w:rFonts w:ascii="Dax-Regular" w:hAnsi="Dax-Regular" w:cs="Arial"/>
          <w:b/>
          <w:color w:val="auto"/>
          <w:sz w:val="16"/>
          <w:szCs w:val="16"/>
          <w:lang w:val="en-US"/>
        </w:rPr>
        <w:t>§ 2 Liability</w:t>
      </w:r>
    </w:p>
    <w:p w:rsidR="008D60DA" w:rsidRPr="008D60DA" w:rsidRDefault="008D60DA" w:rsidP="008D60DA">
      <w:pPr>
        <w:numPr>
          <w:ilvl w:val="0"/>
          <w:numId w:val="26"/>
        </w:numPr>
        <w:tabs>
          <w:tab w:val="left" w:pos="284"/>
        </w:tabs>
        <w:autoSpaceDE w:val="0"/>
        <w:autoSpaceDN w:val="0"/>
        <w:adjustRightInd w:val="0"/>
        <w:ind w:left="0" w:firstLine="0"/>
        <w:jc w:val="both"/>
        <w:rPr>
          <w:rFonts w:ascii="Dax-Regular" w:hAnsi="Dax-Regular" w:cs="Arial"/>
          <w:sz w:val="16"/>
          <w:szCs w:val="16"/>
          <w:lang w:val="en-US"/>
        </w:rPr>
      </w:pPr>
      <w:r w:rsidRPr="008D60DA">
        <w:rPr>
          <w:rFonts w:ascii="Dax-Regular" w:hAnsi="Dax-Regular" w:cs="Arial"/>
          <w:sz w:val="16"/>
          <w:szCs w:val="16"/>
          <w:lang w:val="en-US"/>
        </w:rPr>
        <w:t xml:space="preserve">Liability in the case of transshipment, warehousing, and </w:t>
      </w:r>
      <w:r w:rsidRPr="008D60DA">
        <w:rPr>
          <w:rFonts w:ascii="Dax-Regular" w:hAnsi="Dax-Regular" w:cs="Arial"/>
          <w:color w:val="auto"/>
          <w:sz w:val="16"/>
          <w:szCs w:val="16"/>
          <w:lang w:val="en-US"/>
        </w:rPr>
        <w:t xml:space="preserve">other services that are typically part of the freight forwarding trade outside of air transportation shall be in accordance with the relevant provisions of the </w:t>
      </w:r>
      <w:r w:rsidRPr="008D60DA">
        <w:rPr>
          <w:rFonts w:ascii="Dax-Regular" w:hAnsi="Dax-Regular" w:cs="Arial"/>
          <w:b/>
          <w:sz w:val="16"/>
          <w:szCs w:val="16"/>
          <w:lang w:val="en-US"/>
        </w:rPr>
        <w:t>ADSP,</w:t>
      </w:r>
      <w:r w:rsidRPr="008D60DA">
        <w:rPr>
          <w:rFonts w:ascii="Dax-Regular" w:hAnsi="Dax-Regular" w:cs="Arial"/>
          <w:sz w:val="16"/>
          <w:szCs w:val="16"/>
          <w:lang w:val="en-US"/>
        </w:rPr>
        <w:t xml:space="preserve"> in the version of 2003.</w:t>
      </w:r>
      <w:r w:rsidRPr="008D60DA">
        <w:rPr>
          <w:rFonts w:ascii="Dax-Regular" w:hAnsi="Dax-Regular" w:cs="Arial"/>
          <w:b/>
          <w:i/>
          <w:sz w:val="16"/>
          <w:szCs w:val="16"/>
          <w:lang w:val="en-US"/>
        </w:rPr>
        <w:t xml:space="preserve"> Under number 23 ADSP the liability is limited for damage occurring to goods according to §431 HGB for damages in the custody of freight forwarders to EUR 5,00 per kg. In case of a contract of multi-modal carriage including sea transport to 2 SDR per kg, and to € 1 million, € 2 million or 2 SDR per claim, whichever is higher. Number 27 ADSp extends in deviation to statutory like §507 HGB, Art. 25 Montreal Convention, Art. 36 CIM, Art. 20, 21 CMNI not the liability of the freight forwarder and not the guiltiness of people and other third parties in favor of the ordering party.</w:t>
      </w:r>
    </w:p>
    <w:p w:rsidR="008D60DA" w:rsidRPr="008D60DA" w:rsidRDefault="008D60DA" w:rsidP="008D60DA">
      <w:pPr>
        <w:numPr>
          <w:ilvl w:val="0"/>
          <w:numId w:val="26"/>
        </w:numPr>
        <w:tabs>
          <w:tab w:val="left" w:pos="284"/>
        </w:tabs>
        <w:autoSpaceDE w:val="0"/>
        <w:autoSpaceDN w:val="0"/>
        <w:adjustRightInd w:val="0"/>
        <w:ind w:left="0" w:firstLine="0"/>
        <w:jc w:val="both"/>
        <w:rPr>
          <w:rFonts w:ascii="Dax-Regular" w:hAnsi="Dax-Regular" w:cs="Arial"/>
          <w:color w:val="auto"/>
          <w:sz w:val="16"/>
          <w:szCs w:val="16"/>
          <w:lang w:val="en-US"/>
        </w:rPr>
      </w:pPr>
      <w:r w:rsidRPr="008D60DA">
        <w:rPr>
          <w:rFonts w:ascii="Dax-Regular" w:hAnsi="Dax-Regular" w:cs="Arial"/>
          <w:color w:val="auto"/>
          <w:sz w:val="16"/>
          <w:szCs w:val="16"/>
          <w:lang w:val="en-US"/>
        </w:rPr>
        <w:t xml:space="preserve">In the case of services not falling under the provisions of Subsection 1 above, FCS </w:t>
      </w:r>
      <w:r w:rsidRPr="008D60DA">
        <w:rPr>
          <w:rFonts w:ascii="Dax-Regular" w:hAnsi="Dax-Regular" w:cs="Arial"/>
          <w:sz w:val="16"/>
          <w:szCs w:val="16"/>
          <w:lang w:val="en-US"/>
        </w:rPr>
        <w:t xml:space="preserve">is liable for any loss of life, bodily injury, or impairment of health for which it is responsible and in the event of any other damage or loss for which it or any member of its management is responsible due to intent or gross negligence. In the case of intent or gross negligence on the part of simple agents in the performance of the contractual obligations of FCS (its </w:t>
      </w:r>
      <w:r w:rsidRPr="008D60DA">
        <w:rPr>
          <w:rFonts w:ascii="Dax-Regular" w:hAnsi="Dax-Regular" w:cs="Arial"/>
          <w:i/>
          <w:sz w:val="16"/>
          <w:szCs w:val="16"/>
          <w:lang w:val="en-US"/>
        </w:rPr>
        <w:t>Erfüllungsgehilfen</w:t>
      </w:r>
      <w:r w:rsidRPr="008D60DA">
        <w:rPr>
          <w:rFonts w:ascii="Dax-Regular" w:hAnsi="Dax-Regular" w:cs="Arial"/>
          <w:sz w:val="16"/>
          <w:szCs w:val="16"/>
          <w:lang w:val="en-US"/>
        </w:rPr>
        <w:t>) and in the event of negligent violation of a cardinal obligation that jeopardizes the purpose of the contract, FCS is liable for compensation for the amount of damage or loss typically foreseeable in such cases. Cardinal contractual obligations are fundamental obligations that are material to the airline’s entry into the contract and in whose case the airline was able to trust that they would be fulfilled</w:t>
      </w:r>
      <w:r w:rsidRPr="008D60DA">
        <w:rPr>
          <w:rFonts w:ascii="Dax-Regular" w:hAnsi="Dax-Regular" w:cs="Arial"/>
          <w:color w:val="auto"/>
          <w:sz w:val="16"/>
          <w:szCs w:val="16"/>
          <w:lang w:val="en-US"/>
        </w:rPr>
        <w:t>.</w:t>
      </w:r>
    </w:p>
    <w:p w:rsidR="008D60DA" w:rsidRPr="008D60DA" w:rsidRDefault="008D60DA" w:rsidP="008D60DA">
      <w:pPr>
        <w:numPr>
          <w:ilvl w:val="0"/>
          <w:numId w:val="26"/>
        </w:numPr>
        <w:tabs>
          <w:tab w:val="left" w:pos="284"/>
        </w:tabs>
        <w:autoSpaceDE w:val="0"/>
        <w:autoSpaceDN w:val="0"/>
        <w:adjustRightInd w:val="0"/>
        <w:ind w:left="0" w:firstLine="0"/>
        <w:jc w:val="both"/>
        <w:rPr>
          <w:rFonts w:ascii="Dax-Regular" w:hAnsi="Dax-Regular" w:cs="Arial"/>
          <w:color w:val="auto"/>
          <w:sz w:val="16"/>
          <w:szCs w:val="16"/>
          <w:lang w:val="en-US"/>
        </w:rPr>
      </w:pPr>
      <w:r w:rsidRPr="008D60DA">
        <w:rPr>
          <w:rFonts w:ascii="Dax-Regular" w:hAnsi="Dax-Regular" w:cs="Arial"/>
          <w:color w:val="auto"/>
          <w:sz w:val="16"/>
          <w:szCs w:val="16"/>
          <w:lang w:val="en-US"/>
        </w:rPr>
        <w:t xml:space="preserve">If the customer is </w:t>
      </w:r>
      <w:r w:rsidRPr="008D60DA">
        <w:rPr>
          <w:rFonts w:ascii="Dax-Regular" w:hAnsi="Dax-Regular" w:cs="Arial"/>
          <w:color w:val="auto"/>
          <w:sz w:val="16"/>
          <w:szCs w:val="16"/>
          <w:u w:val="single"/>
          <w:lang w:val="en-US"/>
        </w:rPr>
        <w:t>not</w:t>
      </w:r>
      <w:r w:rsidRPr="008D60DA">
        <w:rPr>
          <w:rFonts w:ascii="Dax-Regular" w:hAnsi="Dax-Regular" w:cs="Arial"/>
          <w:color w:val="auto"/>
          <w:sz w:val="16"/>
          <w:szCs w:val="16"/>
          <w:lang w:val="en-US"/>
        </w:rPr>
        <w:t xml:space="preserve"> a business entity (</w:t>
      </w:r>
      <w:r w:rsidRPr="008D60DA">
        <w:rPr>
          <w:rFonts w:ascii="Dax-Regular" w:hAnsi="Dax-Regular" w:cs="Arial"/>
          <w:i/>
          <w:color w:val="auto"/>
          <w:sz w:val="16"/>
          <w:szCs w:val="16"/>
          <w:lang w:val="en-US"/>
        </w:rPr>
        <w:t>Unternehmer</w:t>
      </w:r>
      <w:r w:rsidRPr="008D60DA">
        <w:rPr>
          <w:rFonts w:ascii="Dax-Regular" w:hAnsi="Dax-Regular" w:cs="Arial"/>
          <w:color w:val="auto"/>
          <w:sz w:val="16"/>
          <w:szCs w:val="16"/>
          <w:lang w:val="en-US"/>
        </w:rPr>
        <w:t xml:space="preserve">), but is instead a natural person (consumer) who is entering into the contract for a purpose that is not attributable to either commercial or trade-related or independent professional activities, FCS shall be liable as set forth in Subsection 2, Sentence 1, above. Furthermore, FCS shall also be liable in the event of intent or gross negligence on the part of </w:t>
      </w:r>
      <w:r w:rsidRPr="008D60DA">
        <w:rPr>
          <w:rFonts w:ascii="Dax-Regular" w:hAnsi="Dax-Regular" w:cs="Arial"/>
          <w:sz w:val="16"/>
          <w:szCs w:val="16"/>
          <w:lang w:val="en-US"/>
        </w:rPr>
        <w:t xml:space="preserve">simple agents in the performance of its contractual obligations (its </w:t>
      </w:r>
      <w:r w:rsidRPr="008D60DA">
        <w:rPr>
          <w:rFonts w:ascii="Dax-Regular" w:hAnsi="Dax-Regular" w:cs="Arial"/>
          <w:i/>
          <w:sz w:val="16"/>
          <w:szCs w:val="16"/>
          <w:lang w:val="en-US"/>
        </w:rPr>
        <w:t>Erfüllungsgehilfen</w:t>
      </w:r>
      <w:r w:rsidRPr="008D60DA">
        <w:rPr>
          <w:rFonts w:ascii="Dax-Regular" w:hAnsi="Dax-Regular" w:cs="Arial"/>
          <w:sz w:val="16"/>
          <w:szCs w:val="16"/>
          <w:lang w:val="en-US"/>
        </w:rPr>
        <w:t xml:space="preserve">) and in the event of negligent violation of cardinal obligations, </w:t>
      </w:r>
      <w:r w:rsidRPr="008D60DA">
        <w:rPr>
          <w:rFonts w:ascii="Dax-Regular" w:hAnsi="Dax-Regular" w:cs="Arial"/>
          <w:color w:val="auto"/>
          <w:sz w:val="16"/>
          <w:szCs w:val="16"/>
          <w:lang w:val="en-US"/>
        </w:rPr>
        <w:t>without such liability being limited to the typically foreseeable amount of damage or losses.</w:t>
      </w:r>
    </w:p>
    <w:p w:rsidR="008D60DA" w:rsidRPr="008D60DA" w:rsidRDefault="008D60DA" w:rsidP="008D60DA">
      <w:pPr>
        <w:numPr>
          <w:ilvl w:val="0"/>
          <w:numId w:val="26"/>
        </w:numPr>
        <w:tabs>
          <w:tab w:val="left" w:pos="284"/>
        </w:tabs>
        <w:autoSpaceDE w:val="0"/>
        <w:autoSpaceDN w:val="0"/>
        <w:adjustRightInd w:val="0"/>
        <w:ind w:left="0" w:firstLine="0"/>
        <w:jc w:val="both"/>
        <w:rPr>
          <w:rFonts w:ascii="Dax-Regular" w:hAnsi="Dax-Regular" w:cs="Arial"/>
          <w:color w:val="auto"/>
          <w:sz w:val="16"/>
          <w:szCs w:val="16"/>
          <w:lang w:val="en-US"/>
        </w:rPr>
      </w:pPr>
      <w:r w:rsidRPr="008D60DA">
        <w:rPr>
          <w:rFonts w:ascii="Dax-Regular" w:hAnsi="Dax-Regular" w:cs="Arial"/>
          <w:sz w:val="16"/>
          <w:szCs w:val="16"/>
          <w:lang w:val="en-US"/>
        </w:rPr>
        <w:t>In all other cases, the liability of FCS, its statutory representatives, or its agents in the performance of its contractual obligations (</w:t>
      </w:r>
      <w:r w:rsidRPr="008D60DA">
        <w:rPr>
          <w:rFonts w:ascii="Dax-Regular" w:hAnsi="Dax-Regular" w:cs="Arial"/>
          <w:i/>
          <w:sz w:val="16"/>
          <w:szCs w:val="16"/>
          <w:lang w:val="en-US"/>
        </w:rPr>
        <w:t>Erfüllungsgehilfen</w:t>
      </w:r>
      <w:r w:rsidRPr="008D60DA">
        <w:rPr>
          <w:rFonts w:ascii="Dax-Regular" w:hAnsi="Dax-Regular" w:cs="Arial"/>
          <w:sz w:val="16"/>
          <w:szCs w:val="16"/>
          <w:lang w:val="en-US"/>
        </w:rPr>
        <w:t>) is ruled out in the case of violation of an obligation through ordinary negligence</w:t>
      </w:r>
      <w:r w:rsidRPr="008D60DA">
        <w:rPr>
          <w:rFonts w:ascii="Dax-Regular" w:hAnsi="Dax-Regular" w:cs="Arial"/>
          <w:color w:val="auto"/>
          <w:sz w:val="16"/>
          <w:szCs w:val="16"/>
          <w:lang w:val="en-US"/>
        </w:rPr>
        <w:t>.</w:t>
      </w:r>
    </w:p>
    <w:p w:rsidR="008D60DA" w:rsidRPr="008D60DA" w:rsidRDefault="008D60DA" w:rsidP="008D60DA">
      <w:pPr>
        <w:numPr>
          <w:ilvl w:val="0"/>
          <w:numId w:val="26"/>
        </w:numPr>
        <w:tabs>
          <w:tab w:val="left" w:pos="284"/>
        </w:tabs>
        <w:autoSpaceDE w:val="0"/>
        <w:autoSpaceDN w:val="0"/>
        <w:adjustRightInd w:val="0"/>
        <w:ind w:left="0" w:firstLine="0"/>
        <w:jc w:val="both"/>
        <w:rPr>
          <w:rFonts w:ascii="Dax-Regular" w:hAnsi="Dax-Regular" w:cs="Arial"/>
          <w:sz w:val="16"/>
          <w:szCs w:val="16"/>
          <w:lang w:val="en-US"/>
        </w:rPr>
      </w:pPr>
      <w:r w:rsidRPr="008D60DA">
        <w:rPr>
          <w:rFonts w:ascii="Dax-Regular" w:hAnsi="Dax-Regular" w:cs="Arial"/>
          <w:color w:val="auto"/>
          <w:sz w:val="16"/>
          <w:szCs w:val="16"/>
          <w:lang w:val="en-US"/>
        </w:rPr>
        <w:lastRenderedPageBreak/>
        <w:t xml:space="preserve">The customer shall indemnify and hold harmless FCS and its </w:t>
      </w:r>
      <w:r w:rsidRPr="008D60DA">
        <w:rPr>
          <w:rFonts w:ascii="Dax-Regular" w:hAnsi="Dax-Regular" w:cs="Arial"/>
          <w:sz w:val="16"/>
          <w:szCs w:val="16"/>
          <w:lang w:val="en-US"/>
        </w:rPr>
        <w:t>statutory representatives and agents in the performance of its contractual obligations (</w:t>
      </w:r>
      <w:r w:rsidRPr="008D60DA">
        <w:rPr>
          <w:rFonts w:ascii="Dax-Regular" w:hAnsi="Dax-Regular" w:cs="Arial"/>
          <w:i/>
          <w:sz w:val="16"/>
          <w:szCs w:val="16"/>
          <w:lang w:val="en-US"/>
        </w:rPr>
        <w:t>Erfüllungsgehilfen</w:t>
      </w:r>
      <w:r w:rsidRPr="008D60DA">
        <w:rPr>
          <w:rFonts w:ascii="Dax-Regular" w:hAnsi="Dax-Regular" w:cs="Arial"/>
          <w:sz w:val="16"/>
          <w:szCs w:val="16"/>
          <w:lang w:val="en-US"/>
        </w:rPr>
        <w:t xml:space="preserve">) against all claims asserted by third parties in connection with services undertaken by FCS vis-à-vis the customer and for which FCS is not liable to the customer </w:t>
      </w:r>
      <w:r w:rsidRPr="008D60DA">
        <w:rPr>
          <w:rFonts w:ascii="Dax-Regular" w:hAnsi="Dax-Regular" w:cs="Arial"/>
          <w:i/>
          <w:sz w:val="16"/>
          <w:szCs w:val="16"/>
          <w:lang w:val="en-US"/>
        </w:rPr>
        <w:t>inter partes</w:t>
      </w:r>
      <w:r w:rsidRPr="008D60DA">
        <w:rPr>
          <w:rFonts w:ascii="Dax-Regular" w:hAnsi="Dax-Regular" w:cs="Arial"/>
          <w:sz w:val="16"/>
          <w:szCs w:val="16"/>
          <w:lang w:val="en-US"/>
        </w:rPr>
        <w:t>.</w:t>
      </w:r>
    </w:p>
    <w:p w:rsidR="008D60DA" w:rsidRPr="008D60DA" w:rsidRDefault="008D60DA" w:rsidP="008D60DA">
      <w:pPr>
        <w:autoSpaceDE w:val="0"/>
        <w:autoSpaceDN w:val="0"/>
        <w:adjustRightInd w:val="0"/>
        <w:jc w:val="both"/>
        <w:rPr>
          <w:rFonts w:ascii="Dax-Regular" w:hAnsi="Dax-Regular" w:cs="Arial"/>
          <w:color w:val="auto"/>
          <w:sz w:val="16"/>
          <w:szCs w:val="16"/>
          <w:lang w:val="en-US"/>
        </w:rPr>
      </w:pPr>
    </w:p>
    <w:p w:rsidR="008D60DA" w:rsidRPr="008D60DA" w:rsidRDefault="008D60DA" w:rsidP="008D60DA">
      <w:pPr>
        <w:autoSpaceDE w:val="0"/>
        <w:autoSpaceDN w:val="0"/>
        <w:adjustRightInd w:val="0"/>
        <w:jc w:val="center"/>
        <w:rPr>
          <w:rFonts w:ascii="Dax-Regular" w:hAnsi="Dax-Regular" w:cs="Arial"/>
          <w:b/>
          <w:sz w:val="16"/>
          <w:szCs w:val="16"/>
          <w:lang w:val="en-US"/>
        </w:rPr>
      </w:pPr>
      <w:r w:rsidRPr="008D60DA">
        <w:rPr>
          <w:rFonts w:ascii="Dax-Regular" w:hAnsi="Dax-Regular" w:cs="Arial"/>
          <w:b/>
          <w:sz w:val="16"/>
          <w:szCs w:val="16"/>
          <w:lang w:val="en-US"/>
        </w:rPr>
        <w:t>Part IV</w:t>
      </w:r>
    </w:p>
    <w:p w:rsidR="008D60DA" w:rsidRPr="008D60DA" w:rsidRDefault="008D60DA" w:rsidP="008D60DA">
      <w:pPr>
        <w:autoSpaceDE w:val="0"/>
        <w:autoSpaceDN w:val="0"/>
        <w:adjustRightInd w:val="0"/>
        <w:jc w:val="center"/>
        <w:rPr>
          <w:rFonts w:ascii="Dax-Regular" w:hAnsi="Dax-Regular" w:cs="Arial"/>
          <w:b/>
          <w:sz w:val="16"/>
          <w:szCs w:val="16"/>
          <w:lang w:val="en-US"/>
        </w:rPr>
      </w:pPr>
      <w:r w:rsidRPr="008D60DA">
        <w:rPr>
          <w:rFonts w:ascii="Dax-Regular" w:hAnsi="Dax-Regular" w:cs="Arial"/>
          <w:b/>
          <w:sz w:val="16"/>
          <w:szCs w:val="16"/>
          <w:lang w:val="en-US"/>
        </w:rPr>
        <w:t>Final provisions</w:t>
      </w:r>
    </w:p>
    <w:p w:rsidR="008D60DA" w:rsidRPr="008D60DA" w:rsidRDefault="008D60DA" w:rsidP="008D60DA">
      <w:pPr>
        <w:numPr>
          <w:ilvl w:val="0"/>
          <w:numId w:val="27"/>
        </w:numPr>
        <w:tabs>
          <w:tab w:val="left" w:pos="284"/>
        </w:tabs>
        <w:autoSpaceDE w:val="0"/>
        <w:autoSpaceDN w:val="0"/>
        <w:adjustRightInd w:val="0"/>
        <w:ind w:left="0" w:firstLine="0"/>
        <w:jc w:val="both"/>
        <w:rPr>
          <w:rFonts w:ascii="Dax-Regular" w:hAnsi="Dax-Regular" w:cs="Arial"/>
          <w:sz w:val="16"/>
          <w:szCs w:val="16"/>
          <w:lang w:val="en-US"/>
        </w:rPr>
      </w:pPr>
      <w:r w:rsidRPr="008D60DA">
        <w:rPr>
          <w:rFonts w:ascii="Dax-Regular" w:hAnsi="Dax-Regular" w:cs="Arial"/>
          <w:sz w:val="16"/>
          <w:szCs w:val="16"/>
          <w:lang w:val="en-US"/>
        </w:rPr>
        <w:t>Should individual provisions hereof be invalid, such circumstance shall not invalidate the remaining provisions hereof.</w:t>
      </w:r>
    </w:p>
    <w:p w:rsidR="008D60DA" w:rsidRPr="008D60DA" w:rsidRDefault="008D60DA" w:rsidP="008D60DA">
      <w:pPr>
        <w:numPr>
          <w:ilvl w:val="0"/>
          <w:numId w:val="27"/>
        </w:numPr>
        <w:tabs>
          <w:tab w:val="left" w:pos="284"/>
        </w:tabs>
        <w:autoSpaceDE w:val="0"/>
        <w:autoSpaceDN w:val="0"/>
        <w:adjustRightInd w:val="0"/>
        <w:ind w:left="0" w:firstLine="0"/>
        <w:jc w:val="both"/>
        <w:rPr>
          <w:rFonts w:ascii="Dax-Regular" w:hAnsi="Dax-Regular" w:cs="Arial"/>
          <w:sz w:val="16"/>
          <w:szCs w:val="16"/>
          <w:lang w:val="en-US"/>
        </w:rPr>
      </w:pPr>
      <w:r w:rsidRPr="008D60DA">
        <w:rPr>
          <w:rFonts w:ascii="Dax-Regular" w:hAnsi="Dax-Regular" w:cs="Arial"/>
          <w:sz w:val="16"/>
          <w:szCs w:val="16"/>
          <w:lang w:val="en-US"/>
        </w:rPr>
        <w:t>Addenda and amendments to these General Terms and Conditions of Business must be made in written form unless they have been agreed with a representative of FCS who holds comprehensive power of representation, particularly managing directors, holders of general commercial power of representation (</w:t>
      </w:r>
      <w:r w:rsidRPr="008D60DA">
        <w:rPr>
          <w:rFonts w:ascii="Dax-Regular" w:hAnsi="Dax-Regular" w:cs="Arial"/>
          <w:i/>
          <w:sz w:val="16"/>
          <w:szCs w:val="16"/>
          <w:lang w:val="en-US"/>
        </w:rPr>
        <w:t>Prokura</w:t>
      </w:r>
      <w:r w:rsidRPr="008D60DA">
        <w:rPr>
          <w:rFonts w:ascii="Dax-Regular" w:hAnsi="Dax-Regular" w:cs="Arial"/>
          <w:sz w:val="16"/>
          <w:szCs w:val="16"/>
          <w:lang w:val="en-US"/>
        </w:rPr>
        <w:t>) or holders of general power of attorney (</w:t>
      </w:r>
      <w:r w:rsidRPr="008D60DA">
        <w:rPr>
          <w:rFonts w:ascii="Dax-Regular" w:hAnsi="Dax-Regular" w:cs="Arial"/>
          <w:i/>
          <w:sz w:val="16"/>
          <w:szCs w:val="16"/>
          <w:lang w:val="en-US"/>
        </w:rPr>
        <w:t>Generalvollmacht</w:t>
      </w:r>
      <w:r w:rsidRPr="008D60DA">
        <w:rPr>
          <w:rFonts w:ascii="Dax-Regular" w:hAnsi="Dax-Regular" w:cs="Arial"/>
          <w:sz w:val="16"/>
          <w:szCs w:val="16"/>
          <w:lang w:val="en-US"/>
        </w:rPr>
        <w:t>).</w:t>
      </w:r>
    </w:p>
    <w:p w:rsidR="008D60DA" w:rsidRPr="008D60DA" w:rsidRDefault="008D60DA" w:rsidP="008D60DA">
      <w:pPr>
        <w:numPr>
          <w:ilvl w:val="0"/>
          <w:numId w:val="27"/>
        </w:numPr>
        <w:tabs>
          <w:tab w:val="left" w:pos="284"/>
        </w:tabs>
        <w:autoSpaceDE w:val="0"/>
        <w:autoSpaceDN w:val="0"/>
        <w:adjustRightInd w:val="0"/>
        <w:ind w:left="0" w:firstLine="0"/>
        <w:jc w:val="both"/>
        <w:rPr>
          <w:rFonts w:ascii="Dax-Regular" w:hAnsi="Dax-Regular" w:cs="Arial"/>
          <w:sz w:val="16"/>
          <w:szCs w:val="16"/>
          <w:lang w:val="en-US"/>
        </w:rPr>
      </w:pPr>
      <w:r w:rsidRPr="008D60DA">
        <w:rPr>
          <w:rFonts w:ascii="Dax-Regular" w:hAnsi="Dax-Regular" w:cs="Arial"/>
          <w:sz w:val="16"/>
          <w:szCs w:val="16"/>
          <w:lang w:val="en-US"/>
        </w:rPr>
        <w:t>If the other party to the contract is a business entity (</w:t>
      </w:r>
      <w:r w:rsidRPr="008D60DA">
        <w:rPr>
          <w:rFonts w:ascii="Dax-Regular" w:hAnsi="Dax-Regular" w:cs="Arial"/>
          <w:i/>
          <w:sz w:val="16"/>
          <w:szCs w:val="16"/>
          <w:lang w:val="en-US"/>
        </w:rPr>
        <w:t>Kaufmann</w:t>
      </w:r>
      <w:r w:rsidRPr="008D60DA">
        <w:rPr>
          <w:rFonts w:ascii="Dax-Regular" w:hAnsi="Dax-Regular" w:cs="Arial"/>
          <w:sz w:val="16"/>
          <w:szCs w:val="16"/>
          <w:lang w:val="en-US"/>
        </w:rPr>
        <w:t>), legal entity existing under public law, or public-law special fund, the sole place of jurisdiction and place of performance is Frankfurt am Main.</w:t>
      </w:r>
    </w:p>
    <w:p w:rsidR="008D60DA" w:rsidRPr="008D60DA" w:rsidRDefault="008D60DA" w:rsidP="008D60DA">
      <w:pPr>
        <w:tabs>
          <w:tab w:val="left" w:pos="284"/>
        </w:tabs>
        <w:autoSpaceDE w:val="0"/>
        <w:autoSpaceDN w:val="0"/>
        <w:adjustRightInd w:val="0"/>
        <w:jc w:val="both"/>
        <w:rPr>
          <w:rFonts w:ascii="Dax-Regular" w:hAnsi="Dax-Regular" w:cs="Arial"/>
          <w:sz w:val="16"/>
          <w:szCs w:val="16"/>
          <w:lang w:val="en-US"/>
        </w:rPr>
      </w:pPr>
    </w:p>
    <w:p w:rsidR="008D60DA" w:rsidRPr="008D60DA" w:rsidRDefault="008D60DA" w:rsidP="008D60DA">
      <w:pPr>
        <w:tabs>
          <w:tab w:val="left" w:pos="284"/>
        </w:tabs>
        <w:autoSpaceDE w:val="0"/>
        <w:autoSpaceDN w:val="0"/>
        <w:adjustRightInd w:val="0"/>
        <w:jc w:val="both"/>
        <w:rPr>
          <w:rFonts w:ascii="Dax-Regular" w:hAnsi="Dax-Regular" w:cs="Arial"/>
          <w:sz w:val="16"/>
          <w:szCs w:val="16"/>
          <w:lang w:val="en-US"/>
        </w:rPr>
      </w:pPr>
      <w:r w:rsidRPr="008D60DA">
        <w:rPr>
          <w:rFonts w:ascii="Dax-Regular" w:hAnsi="Dax-Regular" w:cs="Arial"/>
          <w:sz w:val="16"/>
          <w:szCs w:val="16"/>
          <w:lang w:val="en-US"/>
        </w:rPr>
        <w:t xml:space="preserve">The German version of these General Terms and Conditions shall be binding. It can be downloaded at http://fcs.wfs.aero/en/service/downloads-and-information.html, Document: Allgemeine Geschäftsbedingungen or requested at Tel +49 (0)69 690 29554, E-Mail: </w:t>
      </w:r>
      <w:hyperlink r:id="rId11" w:history="1">
        <w:r w:rsidRPr="008D60DA">
          <w:rPr>
            <w:rStyle w:val="Hyperlink"/>
            <w:rFonts w:ascii="Dax-Regular" w:hAnsi="Dax-Regular" w:cs="Arial"/>
            <w:sz w:val="16"/>
            <w:szCs w:val="16"/>
            <w:lang w:val="en-US"/>
          </w:rPr>
          <w:t>info@fcs.wfs.aero</w:t>
        </w:r>
      </w:hyperlink>
      <w:r w:rsidRPr="008D60DA">
        <w:rPr>
          <w:rFonts w:ascii="Dax-Regular" w:hAnsi="Dax-Regular" w:cs="Arial"/>
          <w:sz w:val="16"/>
          <w:szCs w:val="16"/>
          <w:lang w:val="en-US"/>
        </w:rPr>
        <w:t xml:space="preserve"> </w:t>
      </w:r>
    </w:p>
    <w:p w:rsidR="008D60DA" w:rsidRPr="008D60DA" w:rsidRDefault="008D60DA" w:rsidP="008D60DA">
      <w:pPr>
        <w:tabs>
          <w:tab w:val="left" w:pos="284"/>
        </w:tabs>
        <w:autoSpaceDE w:val="0"/>
        <w:autoSpaceDN w:val="0"/>
        <w:adjustRightInd w:val="0"/>
        <w:jc w:val="both"/>
        <w:rPr>
          <w:rFonts w:ascii="Dax-Regular" w:hAnsi="Dax-Regular" w:cs="Arial"/>
          <w:sz w:val="16"/>
          <w:szCs w:val="16"/>
          <w:lang w:val="en-US"/>
        </w:rPr>
      </w:pPr>
    </w:p>
    <w:p w:rsidR="008D60DA" w:rsidRPr="008D60DA" w:rsidRDefault="008D60DA" w:rsidP="008D60DA">
      <w:pPr>
        <w:tabs>
          <w:tab w:val="left" w:pos="284"/>
        </w:tabs>
        <w:autoSpaceDE w:val="0"/>
        <w:autoSpaceDN w:val="0"/>
        <w:adjustRightInd w:val="0"/>
        <w:jc w:val="both"/>
        <w:rPr>
          <w:rFonts w:ascii="Dax-Regular" w:hAnsi="Dax-Regular" w:cs="Arial"/>
          <w:sz w:val="16"/>
          <w:szCs w:val="16"/>
          <w:lang w:val="en-US"/>
        </w:rPr>
      </w:pPr>
      <w:r w:rsidRPr="008D60DA">
        <w:rPr>
          <w:rFonts w:ascii="Dax-Regular" w:hAnsi="Dax-Regular" w:cs="Arial"/>
          <w:sz w:val="16"/>
          <w:szCs w:val="16"/>
          <w:lang w:val="en-US"/>
        </w:rPr>
        <w:t>Frankfurt</w:t>
      </w:r>
      <w:r w:rsidR="00914F14">
        <w:rPr>
          <w:rFonts w:ascii="Dax-Regular" w:hAnsi="Dax-Regular" w:cs="Arial"/>
          <w:sz w:val="16"/>
          <w:szCs w:val="16"/>
          <w:lang w:val="en-US"/>
        </w:rPr>
        <w:t xml:space="preserve"> 07.03.2017</w:t>
      </w:r>
    </w:p>
    <w:p w:rsidR="00DD40DC" w:rsidRPr="00623B66" w:rsidRDefault="00DD40DC" w:rsidP="008D60DA">
      <w:pPr>
        <w:autoSpaceDE w:val="0"/>
        <w:autoSpaceDN w:val="0"/>
        <w:adjustRightInd w:val="0"/>
        <w:jc w:val="center"/>
        <w:rPr>
          <w:rFonts w:cs="Arial"/>
          <w:color w:val="000000"/>
          <w:sz w:val="18"/>
          <w:szCs w:val="18"/>
          <w:lang w:val="en-US"/>
        </w:rPr>
      </w:pPr>
    </w:p>
    <w:sectPr w:rsidR="00DD40DC" w:rsidRPr="00623B66" w:rsidSect="005562B7">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85B" w:rsidRDefault="0061785B" w:rsidP="0006750E">
      <w:r>
        <w:separator/>
      </w:r>
    </w:p>
  </w:endnote>
  <w:endnote w:type="continuationSeparator" w:id="0">
    <w:p w:rsidR="0061785B" w:rsidRDefault="0061785B" w:rsidP="0006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x-Regular">
    <w:panose1 w:val="0200050606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8D9" w:rsidRPr="00342335" w:rsidRDefault="008D60DA" w:rsidP="00342335">
    <w:pPr>
      <w:pStyle w:val="Fuzeile"/>
      <w:tabs>
        <w:tab w:val="clear" w:pos="4536"/>
        <w:tab w:val="center" w:pos="3828"/>
      </w:tabs>
      <w:rPr>
        <w:sz w:val="14"/>
        <w:szCs w:val="14"/>
        <w:lang w:val="en-US"/>
      </w:rPr>
    </w:pPr>
    <w:r w:rsidRPr="00342335">
      <w:rPr>
        <w:sz w:val="14"/>
        <w:szCs w:val="14"/>
      </w:rPr>
      <w:tab/>
    </w:r>
    <w:r w:rsidRPr="00342335">
      <w:rPr>
        <w:sz w:val="14"/>
        <w:szCs w:val="14"/>
        <w:lang w:val="en-US"/>
      </w:rPr>
      <w:t xml:space="preserve">General Terms and Conditions of Business of </w:t>
    </w:r>
    <w:r>
      <w:rPr>
        <w:sz w:val="14"/>
        <w:szCs w:val="14"/>
        <w:lang w:val="en-US"/>
      </w:rPr>
      <w:t>FCS Frankfurt</w:t>
    </w:r>
    <w:r w:rsidRPr="00342335">
      <w:rPr>
        <w:sz w:val="14"/>
        <w:szCs w:val="14"/>
        <w:lang w:val="en-US"/>
      </w:rPr>
      <w:t xml:space="preserve"> Cargo Services GmbH from </w:t>
    </w:r>
    <w:r w:rsidR="00914F14">
      <w:rPr>
        <w:sz w:val="14"/>
        <w:szCs w:val="14"/>
        <w:lang w:val="en-US"/>
      </w:rPr>
      <w:t>07.03.2017</w:t>
    </w:r>
    <w:r w:rsidRPr="00342335">
      <w:rPr>
        <w:sz w:val="14"/>
        <w:szCs w:val="14"/>
        <w:lang w:val="en-US"/>
      </w:rPr>
      <w:t xml:space="preserve">, Page </w:t>
    </w:r>
    <w:r w:rsidRPr="00342335">
      <w:rPr>
        <w:sz w:val="14"/>
        <w:szCs w:val="14"/>
      </w:rPr>
      <w:fldChar w:fldCharType="begin"/>
    </w:r>
    <w:r w:rsidRPr="00342335">
      <w:rPr>
        <w:sz w:val="14"/>
        <w:szCs w:val="14"/>
        <w:lang w:val="en-US"/>
      </w:rPr>
      <w:instrText xml:space="preserve"> PAGE  \* Arabic  \* MERGEFORMAT </w:instrText>
    </w:r>
    <w:r w:rsidRPr="00342335">
      <w:rPr>
        <w:sz w:val="14"/>
        <w:szCs w:val="14"/>
      </w:rPr>
      <w:fldChar w:fldCharType="separate"/>
    </w:r>
    <w:r w:rsidR="00585175">
      <w:rPr>
        <w:noProof/>
        <w:sz w:val="14"/>
        <w:szCs w:val="14"/>
        <w:lang w:val="en-US"/>
      </w:rPr>
      <w:t>1</w:t>
    </w:r>
    <w:r w:rsidRPr="00342335">
      <w:rPr>
        <w:sz w:val="14"/>
        <w:szCs w:val="14"/>
      </w:rPr>
      <w:fldChar w:fldCharType="end"/>
    </w:r>
    <w:r w:rsidRPr="00342335">
      <w:rPr>
        <w:sz w:val="14"/>
        <w:szCs w:val="14"/>
        <w:lang w:val="en-US"/>
      </w:rPr>
      <w:t xml:space="preserve"> of </w:t>
    </w:r>
    <w:r w:rsidRPr="00342335">
      <w:rPr>
        <w:sz w:val="14"/>
        <w:szCs w:val="14"/>
        <w:lang w:val="en-US"/>
      </w:rPr>
      <w:fldChar w:fldCharType="begin"/>
    </w:r>
    <w:r w:rsidRPr="00342335">
      <w:rPr>
        <w:sz w:val="14"/>
        <w:szCs w:val="14"/>
        <w:lang w:val="en-US"/>
      </w:rPr>
      <w:instrText xml:space="preserve"> NUMPAGES   \* MERGEFORMAT </w:instrText>
    </w:r>
    <w:r w:rsidRPr="00342335">
      <w:rPr>
        <w:sz w:val="14"/>
        <w:szCs w:val="14"/>
        <w:lang w:val="en-US"/>
      </w:rPr>
      <w:fldChar w:fldCharType="separate"/>
    </w:r>
    <w:r w:rsidR="00585175">
      <w:rPr>
        <w:noProof/>
        <w:sz w:val="14"/>
        <w:szCs w:val="14"/>
        <w:lang w:val="en-US"/>
      </w:rPr>
      <w:t>4</w:t>
    </w:r>
    <w:r w:rsidRPr="00342335">
      <w:rPr>
        <w:sz w:val="14"/>
        <w:szCs w:val="1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85B" w:rsidRDefault="0061785B" w:rsidP="0006750E">
      <w:r>
        <w:separator/>
      </w:r>
    </w:p>
  </w:footnote>
  <w:footnote w:type="continuationSeparator" w:id="0">
    <w:p w:rsidR="0061785B" w:rsidRDefault="0061785B" w:rsidP="00067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8D9" w:rsidRDefault="008D60DA">
    <w:pPr>
      <w:pStyle w:val="Kopfzeile"/>
    </w:pPr>
    <w:r>
      <w:rPr>
        <w:noProof/>
      </w:rPr>
      <w:drawing>
        <wp:inline distT="0" distB="0" distL="0" distR="0">
          <wp:extent cx="1676400" cy="885825"/>
          <wp:effectExtent l="0" t="0" r="0" b="9525"/>
          <wp:docPr id="1" name="Grafik 1" descr="F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36FA"/>
    <w:multiLevelType w:val="hybridMultilevel"/>
    <w:tmpl w:val="0220FC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6F2565"/>
    <w:multiLevelType w:val="hybridMultilevel"/>
    <w:tmpl w:val="0C94EA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6A5006"/>
    <w:multiLevelType w:val="multilevel"/>
    <w:tmpl w:val="8A78AB1C"/>
    <w:lvl w:ilvl="0">
      <w:start w:val="1"/>
      <w:numFmt w:val="bullet"/>
      <w:pStyle w:val="Aufzhlung1Punkt"/>
      <w:lvlText w:val=""/>
      <w:lvlJc w:val="left"/>
      <w:pPr>
        <w:tabs>
          <w:tab w:val="num" w:pos="360"/>
        </w:tabs>
        <w:ind w:left="357" w:hanging="357"/>
      </w:pPr>
      <w:rPr>
        <w:rFonts w:ascii="Symbol" w:hAnsi="Symbol" w:hint="default"/>
        <w:b w:val="0"/>
        <w:i w:val="0"/>
      </w:rPr>
    </w:lvl>
    <w:lvl w:ilvl="1">
      <w:start w:val="1"/>
      <w:numFmt w:val="bullet"/>
      <w:lvlText w:val=""/>
      <w:lvlJc w:val="left"/>
      <w:pPr>
        <w:tabs>
          <w:tab w:val="num" w:pos="709"/>
        </w:tabs>
        <w:ind w:left="709" w:hanging="369"/>
      </w:pPr>
      <w:rPr>
        <w:rFonts w:ascii="Symbol" w:hAnsi="Symbol" w:hint="default"/>
      </w:rPr>
    </w:lvl>
    <w:lvl w:ilvl="2">
      <w:start w:val="1"/>
      <w:numFmt w:val="bullet"/>
      <w:lvlText w:val=""/>
      <w:lvlJc w:val="left"/>
      <w:pPr>
        <w:tabs>
          <w:tab w:val="num" w:pos="1049"/>
        </w:tabs>
        <w:ind w:left="1049" w:hanging="369"/>
      </w:pPr>
      <w:rPr>
        <w:rFonts w:ascii="Symbol" w:hAnsi="Symbol" w:hint="default"/>
      </w:rPr>
    </w:lvl>
    <w:lvl w:ilvl="3">
      <w:start w:val="1"/>
      <w:numFmt w:val="bullet"/>
      <w:lvlText w:val=""/>
      <w:lvlJc w:val="left"/>
      <w:pPr>
        <w:tabs>
          <w:tab w:val="num" w:pos="1389"/>
        </w:tabs>
        <w:ind w:left="1389" w:hanging="368"/>
      </w:pPr>
      <w:rPr>
        <w:rFonts w:ascii="Symbol" w:hAnsi="Symbol" w:hint="default"/>
      </w:rPr>
    </w:lvl>
    <w:lvl w:ilvl="4">
      <w:start w:val="1"/>
      <w:numFmt w:val="bullet"/>
      <w:lvlText w:val=""/>
      <w:lvlJc w:val="left"/>
      <w:pPr>
        <w:tabs>
          <w:tab w:val="num" w:pos="1729"/>
        </w:tabs>
        <w:ind w:left="1729" w:hanging="368"/>
      </w:pPr>
      <w:rPr>
        <w:rFonts w:ascii="Symbol" w:hAnsi="Symbol" w:hint="default"/>
      </w:rPr>
    </w:lvl>
    <w:lvl w:ilvl="5">
      <w:start w:val="1"/>
      <w:numFmt w:val="bullet"/>
      <w:lvlText w:val=""/>
      <w:lvlJc w:val="left"/>
      <w:pPr>
        <w:tabs>
          <w:tab w:val="num" w:pos="2070"/>
        </w:tabs>
        <w:ind w:left="2070" w:hanging="369"/>
      </w:pPr>
      <w:rPr>
        <w:rFonts w:ascii="Symbol" w:hAnsi="Symbol" w:hint="default"/>
      </w:rPr>
    </w:lvl>
    <w:lvl w:ilvl="6">
      <w:start w:val="1"/>
      <w:numFmt w:val="bullet"/>
      <w:lvlText w:val=""/>
      <w:lvlJc w:val="left"/>
      <w:pPr>
        <w:tabs>
          <w:tab w:val="num" w:pos="2410"/>
        </w:tabs>
        <w:ind w:left="2410" w:hanging="369"/>
      </w:pPr>
      <w:rPr>
        <w:rFonts w:ascii="Symbol" w:hAnsi="Symbol" w:hint="default"/>
      </w:rPr>
    </w:lvl>
    <w:lvl w:ilvl="7">
      <w:start w:val="1"/>
      <w:numFmt w:val="bullet"/>
      <w:lvlText w:val=""/>
      <w:lvlJc w:val="left"/>
      <w:pPr>
        <w:tabs>
          <w:tab w:val="num" w:pos="2750"/>
        </w:tabs>
        <w:ind w:left="2750" w:hanging="369"/>
      </w:pPr>
      <w:rPr>
        <w:rFonts w:ascii="Symbol" w:hAnsi="Symbol" w:hint="default"/>
      </w:rPr>
    </w:lvl>
    <w:lvl w:ilvl="8">
      <w:start w:val="1"/>
      <w:numFmt w:val="bullet"/>
      <w:lvlText w:val=""/>
      <w:lvlJc w:val="left"/>
      <w:pPr>
        <w:tabs>
          <w:tab w:val="num" w:pos="3090"/>
        </w:tabs>
        <w:ind w:left="3090" w:hanging="368"/>
      </w:pPr>
      <w:rPr>
        <w:rFonts w:ascii="Symbol" w:hAnsi="Symbol" w:hint="default"/>
      </w:rPr>
    </w:lvl>
  </w:abstractNum>
  <w:abstractNum w:abstractNumId="3" w15:restartNumberingAfterBreak="0">
    <w:nsid w:val="34607D72"/>
    <w:multiLevelType w:val="multilevel"/>
    <w:tmpl w:val="E12264B4"/>
    <w:lvl w:ilvl="0">
      <w:start w:val="1"/>
      <w:numFmt w:val="decimal"/>
      <w:pStyle w:val="berschrift1"/>
      <w:lvlText w:val="%1."/>
      <w:lvlJc w:val="left"/>
      <w:pPr>
        <w:tabs>
          <w:tab w:val="num" w:pos="360"/>
        </w:tabs>
        <w:ind w:left="340" w:hanging="34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87362A0"/>
    <w:multiLevelType w:val="hybridMultilevel"/>
    <w:tmpl w:val="EAAA0E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AE2229"/>
    <w:multiLevelType w:val="hybridMultilevel"/>
    <w:tmpl w:val="C25820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034C09"/>
    <w:multiLevelType w:val="hybridMultilevel"/>
    <w:tmpl w:val="D7EE6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FC5621"/>
    <w:multiLevelType w:val="hybridMultilevel"/>
    <w:tmpl w:val="0F6ABF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38452D2"/>
    <w:multiLevelType w:val="hybridMultilevel"/>
    <w:tmpl w:val="EA08EF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4193372"/>
    <w:multiLevelType w:val="hybridMultilevel"/>
    <w:tmpl w:val="E96458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E93418"/>
    <w:multiLevelType w:val="hybridMultilevel"/>
    <w:tmpl w:val="F68ACF72"/>
    <w:lvl w:ilvl="0" w:tplc="DAFA50BE">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03D7B19"/>
    <w:multiLevelType w:val="hybridMultilevel"/>
    <w:tmpl w:val="0FCA31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63E5D6C"/>
    <w:multiLevelType w:val="hybridMultilevel"/>
    <w:tmpl w:val="9976D3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D746A58"/>
    <w:multiLevelType w:val="hybridMultilevel"/>
    <w:tmpl w:val="2BA831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A935BD0"/>
    <w:multiLevelType w:val="multilevel"/>
    <w:tmpl w:val="54EE8918"/>
    <w:lvl w:ilvl="0">
      <w:start w:val="1"/>
      <w:numFmt w:val="bullet"/>
      <w:pStyle w:val="Aufzhlung1Strich"/>
      <w:lvlText w:val="-"/>
      <w:lvlJc w:val="left"/>
      <w:pPr>
        <w:tabs>
          <w:tab w:val="num" w:pos="360"/>
        </w:tabs>
        <w:ind w:left="357" w:hanging="357"/>
      </w:pPr>
      <w:rPr>
        <w:rFonts w:ascii="Arial" w:hAnsi="Arial" w:hint="default"/>
        <w:b w:val="0"/>
        <w:i w:val="0"/>
      </w:rPr>
    </w:lvl>
    <w:lvl w:ilvl="1">
      <w:start w:val="1"/>
      <w:numFmt w:val="bullet"/>
      <w:lvlText w:val=""/>
      <w:lvlJc w:val="left"/>
      <w:pPr>
        <w:tabs>
          <w:tab w:val="num" w:pos="709"/>
        </w:tabs>
        <w:ind w:left="709" w:hanging="369"/>
      </w:pPr>
      <w:rPr>
        <w:rFonts w:ascii="Symbol" w:hAnsi="Symbol" w:hint="default"/>
      </w:rPr>
    </w:lvl>
    <w:lvl w:ilvl="2">
      <w:start w:val="1"/>
      <w:numFmt w:val="bullet"/>
      <w:lvlText w:val=""/>
      <w:lvlJc w:val="left"/>
      <w:pPr>
        <w:tabs>
          <w:tab w:val="num" w:pos="1049"/>
        </w:tabs>
        <w:ind w:left="1049" w:hanging="369"/>
      </w:pPr>
      <w:rPr>
        <w:rFonts w:ascii="Symbol" w:hAnsi="Symbol" w:hint="default"/>
      </w:rPr>
    </w:lvl>
    <w:lvl w:ilvl="3">
      <w:start w:val="1"/>
      <w:numFmt w:val="bullet"/>
      <w:lvlText w:val=""/>
      <w:lvlJc w:val="left"/>
      <w:pPr>
        <w:tabs>
          <w:tab w:val="num" w:pos="1389"/>
        </w:tabs>
        <w:ind w:left="1389" w:hanging="368"/>
      </w:pPr>
      <w:rPr>
        <w:rFonts w:ascii="Symbol" w:hAnsi="Symbol" w:hint="default"/>
      </w:rPr>
    </w:lvl>
    <w:lvl w:ilvl="4">
      <w:start w:val="1"/>
      <w:numFmt w:val="bullet"/>
      <w:lvlText w:val=""/>
      <w:lvlJc w:val="left"/>
      <w:pPr>
        <w:tabs>
          <w:tab w:val="num" w:pos="1729"/>
        </w:tabs>
        <w:ind w:left="1729" w:hanging="368"/>
      </w:pPr>
      <w:rPr>
        <w:rFonts w:ascii="Symbol" w:hAnsi="Symbol" w:hint="default"/>
      </w:rPr>
    </w:lvl>
    <w:lvl w:ilvl="5">
      <w:start w:val="1"/>
      <w:numFmt w:val="bullet"/>
      <w:lvlText w:val=""/>
      <w:lvlJc w:val="left"/>
      <w:pPr>
        <w:tabs>
          <w:tab w:val="num" w:pos="2070"/>
        </w:tabs>
        <w:ind w:left="2070" w:hanging="369"/>
      </w:pPr>
      <w:rPr>
        <w:rFonts w:ascii="Symbol" w:hAnsi="Symbol" w:hint="default"/>
      </w:rPr>
    </w:lvl>
    <w:lvl w:ilvl="6">
      <w:start w:val="1"/>
      <w:numFmt w:val="bullet"/>
      <w:lvlText w:val=""/>
      <w:lvlJc w:val="left"/>
      <w:pPr>
        <w:tabs>
          <w:tab w:val="num" w:pos="2410"/>
        </w:tabs>
        <w:ind w:left="2410" w:hanging="369"/>
      </w:pPr>
      <w:rPr>
        <w:rFonts w:ascii="Symbol" w:hAnsi="Symbol" w:hint="default"/>
      </w:rPr>
    </w:lvl>
    <w:lvl w:ilvl="7">
      <w:start w:val="1"/>
      <w:numFmt w:val="bullet"/>
      <w:lvlText w:val=""/>
      <w:lvlJc w:val="left"/>
      <w:pPr>
        <w:tabs>
          <w:tab w:val="num" w:pos="2750"/>
        </w:tabs>
        <w:ind w:left="2750" w:hanging="369"/>
      </w:pPr>
      <w:rPr>
        <w:rFonts w:ascii="Symbol" w:hAnsi="Symbol" w:hint="default"/>
      </w:rPr>
    </w:lvl>
    <w:lvl w:ilvl="8">
      <w:start w:val="1"/>
      <w:numFmt w:val="bullet"/>
      <w:lvlText w:val=""/>
      <w:lvlJc w:val="left"/>
      <w:pPr>
        <w:tabs>
          <w:tab w:val="num" w:pos="3090"/>
        </w:tabs>
        <w:ind w:left="3090" w:hanging="368"/>
      </w:pPr>
      <w:rPr>
        <w:rFonts w:ascii="Symbol" w:hAnsi="Symbol" w:hint="default"/>
      </w:rPr>
    </w:lvl>
  </w:abstractNum>
  <w:num w:numId="1">
    <w:abstractNumId w:val="3"/>
  </w:num>
  <w:num w:numId="2">
    <w:abstractNumId w:val="3"/>
  </w:num>
  <w:num w:numId="3">
    <w:abstractNumId w:val="3"/>
  </w:num>
  <w:num w:numId="4">
    <w:abstractNumId w:val="14"/>
  </w:num>
  <w:num w:numId="5">
    <w:abstractNumId w:val="2"/>
  </w:num>
  <w:num w:numId="6">
    <w:abstractNumId w:val="3"/>
  </w:num>
  <w:num w:numId="7">
    <w:abstractNumId w:val="3"/>
  </w:num>
  <w:num w:numId="8">
    <w:abstractNumId w:val="3"/>
  </w:num>
  <w:num w:numId="9">
    <w:abstractNumId w:val="14"/>
  </w:num>
  <w:num w:numId="10">
    <w:abstractNumId w:val="2"/>
  </w:num>
  <w:num w:numId="11">
    <w:abstractNumId w:val="3"/>
  </w:num>
  <w:num w:numId="12">
    <w:abstractNumId w:val="3"/>
  </w:num>
  <w:num w:numId="13">
    <w:abstractNumId w:val="3"/>
  </w:num>
  <w:num w:numId="14">
    <w:abstractNumId w:val="14"/>
  </w:num>
  <w:num w:numId="15">
    <w:abstractNumId w:val="2"/>
  </w:num>
  <w:num w:numId="16">
    <w:abstractNumId w:val="13"/>
  </w:num>
  <w:num w:numId="17">
    <w:abstractNumId w:val="10"/>
  </w:num>
  <w:num w:numId="18">
    <w:abstractNumId w:val="11"/>
  </w:num>
  <w:num w:numId="19">
    <w:abstractNumId w:val="6"/>
  </w:num>
  <w:num w:numId="20">
    <w:abstractNumId w:val="4"/>
  </w:num>
  <w:num w:numId="21">
    <w:abstractNumId w:val="9"/>
  </w:num>
  <w:num w:numId="22">
    <w:abstractNumId w:val="0"/>
  </w:num>
  <w:num w:numId="23">
    <w:abstractNumId w:val="7"/>
  </w:num>
  <w:num w:numId="24">
    <w:abstractNumId w:val="5"/>
  </w:num>
  <w:num w:numId="25">
    <w:abstractNumId w:val="1"/>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Ukmw+REPqO4YZ+5HBsYgCLAFguEG6ODyh+gaEzTl5GkiS+s/BgPK75USdyHljKreF08igtF8y/6k665Ej0hn9w==" w:salt="aILhBfuWf/h9m2BeXwMtyg=="/>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99"/>
    <w:rsid w:val="000010A9"/>
    <w:rsid w:val="00007ADF"/>
    <w:rsid w:val="00036A16"/>
    <w:rsid w:val="00036DB2"/>
    <w:rsid w:val="0006750E"/>
    <w:rsid w:val="0006781D"/>
    <w:rsid w:val="000A2EA8"/>
    <w:rsid w:val="000B2956"/>
    <w:rsid w:val="00103F39"/>
    <w:rsid w:val="00117ED2"/>
    <w:rsid w:val="00150E02"/>
    <w:rsid w:val="0018079F"/>
    <w:rsid w:val="001A3966"/>
    <w:rsid w:val="001D0173"/>
    <w:rsid w:val="001E6881"/>
    <w:rsid w:val="001F6E38"/>
    <w:rsid w:val="00256452"/>
    <w:rsid w:val="00263B23"/>
    <w:rsid w:val="002830CB"/>
    <w:rsid w:val="002842DF"/>
    <w:rsid w:val="00297981"/>
    <w:rsid w:val="002A237C"/>
    <w:rsid w:val="002B0CBE"/>
    <w:rsid w:val="002B5130"/>
    <w:rsid w:val="002D7F92"/>
    <w:rsid w:val="002E297B"/>
    <w:rsid w:val="002F651D"/>
    <w:rsid w:val="00305038"/>
    <w:rsid w:val="00314736"/>
    <w:rsid w:val="00316E53"/>
    <w:rsid w:val="003465DB"/>
    <w:rsid w:val="00347E69"/>
    <w:rsid w:val="00356133"/>
    <w:rsid w:val="00363E3F"/>
    <w:rsid w:val="00372A05"/>
    <w:rsid w:val="003A1EC1"/>
    <w:rsid w:val="00400378"/>
    <w:rsid w:val="00437B73"/>
    <w:rsid w:val="00444220"/>
    <w:rsid w:val="00476780"/>
    <w:rsid w:val="00490EFD"/>
    <w:rsid w:val="00490FE5"/>
    <w:rsid w:val="00497542"/>
    <w:rsid w:val="004D2CF0"/>
    <w:rsid w:val="004E601D"/>
    <w:rsid w:val="005003FA"/>
    <w:rsid w:val="00525690"/>
    <w:rsid w:val="0055224E"/>
    <w:rsid w:val="00555C1F"/>
    <w:rsid w:val="00563451"/>
    <w:rsid w:val="00576D4C"/>
    <w:rsid w:val="00585175"/>
    <w:rsid w:val="005C2B43"/>
    <w:rsid w:val="005C4F43"/>
    <w:rsid w:val="00600A98"/>
    <w:rsid w:val="0061785B"/>
    <w:rsid w:val="00617B49"/>
    <w:rsid w:val="00623B66"/>
    <w:rsid w:val="0064738F"/>
    <w:rsid w:val="0065126B"/>
    <w:rsid w:val="00675970"/>
    <w:rsid w:val="006D5245"/>
    <w:rsid w:val="006E7B15"/>
    <w:rsid w:val="006F45A0"/>
    <w:rsid w:val="0075752A"/>
    <w:rsid w:val="007B004E"/>
    <w:rsid w:val="007C66B0"/>
    <w:rsid w:val="007E2695"/>
    <w:rsid w:val="00833607"/>
    <w:rsid w:val="00850FF6"/>
    <w:rsid w:val="0086368C"/>
    <w:rsid w:val="008B3746"/>
    <w:rsid w:val="008D2357"/>
    <w:rsid w:val="008D60DA"/>
    <w:rsid w:val="008E3ADE"/>
    <w:rsid w:val="008E7462"/>
    <w:rsid w:val="008F58A4"/>
    <w:rsid w:val="00903CAF"/>
    <w:rsid w:val="00914F14"/>
    <w:rsid w:val="00970C67"/>
    <w:rsid w:val="00975537"/>
    <w:rsid w:val="009840F8"/>
    <w:rsid w:val="009F6F00"/>
    <w:rsid w:val="00A369B8"/>
    <w:rsid w:val="00A87505"/>
    <w:rsid w:val="00AC65B5"/>
    <w:rsid w:val="00AF5F3D"/>
    <w:rsid w:val="00B172E9"/>
    <w:rsid w:val="00BA4469"/>
    <w:rsid w:val="00BD041D"/>
    <w:rsid w:val="00C22F2B"/>
    <w:rsid w:val="00C508E3"/>
    <w:rsid w:val="00CA0699"/>
    <w:rsid w:val="00CA4976"/>
    <w:rsid w:val="00CA6688"/>
    <w:rsid w:val="00D01B8D"/>
    <w:rsid w:val="00D24373"/>
    <w:rsid w:val="00D7254C"/>
    <w:rsid w:val="00D86270"/>
    <w:rsid w:val="00DB3907"/>
    <w:rsid w:val="00DD40DC"/>
    <w:rsid w:val="00E42389"/>
    <w:rsid w:val="00E53B49"/>
    <w:rsid w:val="00E5508D"/>
    <w:rsid w:val="00E61943"/>
    <w:rsid w:val="00E61F98"/>
    <w:rsid w:val="00E87456"/>
    <w:rsid w:val="00EA6533"/>
    <w:rsid w:val="00EB1467"/>
    <w:rsid w:val="00EB15D4"/>
    <w:rsid w:val="00ED3DD2"/>
    <w:rsid w:val="00EF36BF"/>
    <w:rsid w:val="00F07254"/>
    <w:rsid w:val="00F1661B"/>
    <w:rsid w:val="00F43622"/>
    <w:rsid w:val="00F4598A"/>
    <w:rsid w:val="00F80F2F"/>
    <w:rsid w:val="00FA0327"/>
    <w:rsid w:val="00FC51F7"/>
    <w:rsid w:val="00FF3F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7950D4A-69D5-4E1C-9E38-236D7905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color w:val="000000" w:themeColor="text1"/>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nhideWhenUsed/>
    <w:qFormat/>
    <w:rsid w:val="0075752A"/>
  </w:style>
  <w:style w:type="paragraph" w:styleId="berschrift1">
    <w:name w:val="heading 1"/>
    <w:basedOn w:val="Standard"/>
    <w:next w:val="Standard"/>
    <w:link w:val="berschrift1Zchn"/>
    <w:uiPriority w:val="3"/>
    <w:qFormat/>
    <w:rsid w:val="00E61F98"/>
    <w:pPr>
      <w:keepNext/>
      <w:numPr>
        <w:numId w:val="13"/>
      </w:numPr>
      <w:spacing w:after="120"/>
      <w:outlineLvl w:val="0"/>
    </w:pPr>
    <w:rPr>
      <w:b/>
      <w:i/>
      <w:color w:val="000091"/>
      <w:sz w:val="28"/>
    </w:rPr>
  </w:style>
  <w:style w:type="paragraph" w:styleId="berschrift2">
    <w:name w:val="heading 2"/>
    <w:basedOn w:val="Standard"/>
    <w:next w:val="Standard"/>
    <w:link w:val="berschrift2Zchn"/>
    <w:uiPriority w:val="3"/>
    <w:qFormat/>
    <w:rsid w:val="00E61F98"/>
    <w:pPr>
      <w:keepNext/>
      <w:numPr>
        <w:ilvl w:val="1"/>
        <w:numId w:val="13"/>
      </w:numPr>
      <w:spacing w:after="120"/>
      <w:outlineLvl w:val="1"/>
    </w:pPr>
    <w:rPr>
      <w:b/>
      <w:color w:val="000091"/>
      <w:sz w:val="24"/>
    </w:rPr>
  </w:style>
  <w:style w:type="paragraph" w:styleId="berschrift3">
    <w:name w:val="heading 3"/>
    <w:basedOn w:val="Standard"/>
    <w:next w:val="Standard"/>
    <w:link w:val="berschrift3Zchn"/>
    <w:uiPriority w:val="3"/>
    <w:qFormat/>
    <w:rsid w:val="00E61F98"/>
    <w:pPr>
      <w:keepNext/>
      <w:numPr>
        <w:ilvl w:val="2"/>
        <w:numId w:val="13"/>
      </w:numPr>
      <w:spacing w:after="60"/>
      <w:outlineLvl w:val="2"/>
    </w:pPr>
    <w:rPr>
      <w:b/>
      <w:color w:val="000091"/>
    </w:rPr>
  </w:style>
  <w:style w:type="paragraph" w:styleId="berschrift4">
    <w:name w:val="heading 4"/>
    <w:basedOn w:val="Standard"/>
    <w:next w:val="Standard"/>
    <w:link w:val="berschrift4Zchn"/>
    <w:uiPriority w:val="9"/>
    <w:semiHidden/>
    <w:unhideWhenUsed/>
    <w:rsid w:val="00E61F98"/>
    <w:pPr>
      <w:keepNext/>
      <w:keepLines/>
      <w:spacing w:before="200"/>
      <w:outlineLvl w:val="3"/>
    </w:pPr>
    <w:rPr>
      <w:rFonts w:asciiTheme="majorHAnsi" w:eastAsiaTheme="majorEastAsia" w:hAnsiTheme="majorHAnsi" w:cstheme="majorBidi"/>
      <w:b/>
      <w:bCs/>
      <w:i/>
      <w:iCs/>
      <w:color w:val="000091"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3"/>
    <w:rsid w:val="00437B73"/>
    <w:rPr>
      <w:b/>
      <w:i/>
      <w:color w:val="000091"/>
      <w:sz w:val="28"/>
    </w:rPr>
  </w:style>
  <w:style w:type="character" w:customStyle="1" w:styleId="berschrift2Zchn">
    <w:name w:val="Überschrift 2 Zchn"/>
    <w:basedOn w:val="Absatz-Standardschriftart"/>
    <w:link w:val="berschrift2"/>
    <w:uiPriority w:val="3"/>
    <w:rsid w:val="00437B73"/>
    <w:rPr>
      <w:b/>
      <w:color w:val="000091"/>
      <w:sz w:val="24"/>
    </w:rPr>
  </w:style>
  <w:style w:type="character" w:customStyle="1" w:styleId="berschrift3Zchn">
    <w:name w:val="Überschrift 3 Zchn"/>
    <w:basedOn w:val="Absatz-Standardschriftart"/>
    <w:link w:val="berschrift3"/>
    <w:uiPriority w:val="3"/>
    <w:rsid w:val="00437B73"/>
    <w:rPr>
      <w:b/>
      <w:color w:val="000091"/>
    </w:rPr>
  </w:style>
  <w:style w:type="paragraph" w:customStyle="1" w:styleId="Aufzhlung1Strich">
    <w:name w:val="Aufzählung 1 Strich"/>
    <w:basedOn w:val="Standard"/>
    <w:next w:val="Standard"/>
    <w:uiPriority w:val="1"/>
    <w:qFormat/>
    <w:rsid w:val="00E61F98"/>
    <w:pPr>
      <w:numPr>
        <w:numId w:val="14"/>
      </w:numPr>
    </w:pPr>
  </w:style>
  <w:style w:type="paragraph" w:customStyle="1" w:styleId="Aufzhlung1Punkt">
    <w:name w:val="Aufzählung 1 Punkt"/>
    <w:basedOn w:val="Aufzhlung1Strich"/>
    <w:uiPriority w:val="1"/>
    <w:qFormat/>
    <w:rsid w:val="00E61F98"/>
    <w:pPr>
      <w:numPr>
        <w:numId w:val="15"/>
      </w:numPr>
    </w:pPr>
  </w:style>
  <w:style w:type="character" w:customStyle="1" w:styleId="berschrift4Zchn">
    <w:name w:val="Überschrift 4 Zchn"/>
    <w:basedOn w:val="Absatz-Standardschriftart"/>
    <w:link w:val="berschrift4"/>
    <w:uiPriority w:val="9"/>
    <w:semiHidden/>
    <w:rsid w:val="00E61F98"/>
    <w:rPr>
      <w:rFonts w:asciiTheme="majorHAnsi" w:eastAsiaTheme="majorEastAsia" w:hAnsiTheme="majorHAnsi" w:cstheme="majorBidi"/>
      <w:b/>
      <w:bCs/>
      <w:i/>
      <w:iCs/>
      <w:color w:val="000091" w:themeColor="text2"/>
    </w:rPr>
  </w:style>
  <w:style w:type="paragraph" w:styleId="Untertitel">
    <w:name w:val="Subtitle"/>
    <w:basedOn w:val="Standard"/>
    <w:next w:val="Standard"/>
    <w:link w:val="UntertitelZchn"/>
    <w:uiPriority w:val="2"/>
    <w:rsid w:val="002D7F92"/>
    <w:pPr>
      <w:numPr>
        <w:ilvl w:val="1"/>
      </w:numPr>
    </w:pPr>
    <w:rPr>
      <w:rFonts w:asciiTheme="majorHAnsi" w:eastAsiaTheme="majorEastAsia" w:hAnsiTheme="majorHAnsi" w:cstheme="majorBidi"/>
      <w:i/>
      <w:iCs/>
      <w:color w:val="000091" w:themeColor="text2"/>
      <w:spacing w:val="15"/>
      <w:sz w:val="24"/>
      <w:szCs w:val="24"/>
    </w:rPr>
  </w:style>
  <w:style w:type="character" w:customStyle="1" w:styleId="UntertitelZchn">
    <w:name w:val="Untertitel Zchn"/>
    <w:basedOn w:val="Absatz-Standardschriftart"/>
    <w:link w:val="Untertitel"/>
    <w:uiPriority w:val="2"/>
    <w:rsid w:val="002D7F92"/>
    <w:rPr>
      <w:rFonts w:asciiTheme="majorHAnsi" w:eastAsiaTheme="majorEastAsia" w:hAnsiTheme="majorHAnsi" w:cstheme="majorBidi"/>
      <w:i/>
      <w:iCs/>
      <w:color w:val="000091" w:themeColor="text2"/>
      <w:spacing w:val="15"/>
      <w:sz w:val="24"/>
      <w:szCs w:val="24"/>
    </w:rPr>
  </w:style>
  <w:style w:type="character" w:customStyle="1" w:styleId="Fraportblaukursiv">
    <w:name w:val="Fraport blau kursiv"/>
    <w:uiPriority w:val="2"/>
    <w:rsid w:val="00437B73"/>
    <w:rPr>
      <w:b/>
      <w:i/>
      <w:color w:val="000091" w:themeColor="text2"/>
    </w:rPr>
  </w:style>
  <w:style w:type="paragraph" w:customStyle="1" w:styleId="Titel1keineberschrift">
    <w:name w:val="Titel 1 (keine Überschrift)"/>
    <w:basedOn w:val="Standard"/>
    <w:next w:val="Standard"/>
    <w:uiPriority w:val="1"/>
    <w:qFormat/>
    <w:rsid w:val="00850FF6"/>
    <w:rPr>
      <w:b/>
      <w:sz w:val="28"/>
    </w:rPr>
  </w:style>
  <w:style w:type="paragraph" w:customStyle="1" w:styleId="Titel2keineberschrift">
    <w:name w:val="Titel 2 (keine Überschrift)"/>
    <w:basedOn w:val="Standard"/>
    <w:next w:val="Standard"/>
    <w:uiPriority w:val="1"/>
    <w:qFormat/>
    <w:rsid w:val="00850FF6"/>
    <w:rPr>
      <w:b/>
      <w:sz w:val="24"/>
    </w:rPr>
  </w:style>
  <w:style w:type="paragraph" w:customStyle="1" w:styleId="Titel3keineberschrift">
    <w:name w:val="Titel 3 (keine Überschrift)"/>
    <w:basedOn w:val="Standard"/>
    <w:next w:val="Standard"/>
    <w:uiPriority w:val="1"/>
    <w:qFormat/>
    <w:rsid w:val="00850FF6"/>
    <w:rPr>
      <w:b/>
    </w:rPr>
  </w:style>
  <w:style w:type="character" w:customStyle="1" w:styleId="Fraportblau">
    <w:name w:val="Fraport blau"/>
    <w:uiPriority w:val="2"/>
    <w:rsid w:val="00850FF6"/>
    <w:rPr>
      <w:color w:val="000091" w:themeColor="text2"/>
    </w:rPr>
  </w:style>
  <w:style w:type="table" w:customStyle="1" w:styleId="Fraport3-Standardgrau">
    <w:name w:val="Fraport 3 - Standard grau"/>
    <w:basedOn w:val="Fraport1-Standardblau"/>
    <w:uiPriority w:val="99"/>
    <w:qFormat/>
    <w:rsid w:val="007E2695"/>
    <w:tblPr>
      <w:tblBorders>
        <w:bottom w:val="single" w:sz="8" w:space="0" w:color="AAAFAF" w:themeColor="background2"/>
      </w:tblBorders>
    </w:tblPr>
    <w:tcPr>
      <w:shd w:val="clear" w:color="auto" w:fill="auto"/>
    </w:tcPr>
    <w:tblStylePr w:type="firstRow">
      <w:pPr>
        <w:spacing w:before="0" w:after="0" w:line="240" w:lineRule="auto"/>
      </w:pPr>
      <w:rPr>
        <w:b/>
        <w:bCs/>
        <w:color w:val="auto"/>
      </w:rPr>
      <w:tblPr/>
      <w:tcPr>
        <w:tcBorders>
          <w:top w:val="nil"/>
          <w:left w:val="nil"/>
          <w:bottom w:val="nil"/>
          <w:right w:val="nil"/>
          <w:insideH w:val="nil"/>
          <w:insideV w:val="nil"/>
          <w:tl2br w:val="nil"/>
          <w:tr2bl w:val="nil"/>
        </w:tcBorders>
        <w:shd w:val="clear" w:color="auto" w:fill="AAAFAF" w:themeFill="background2"/>
      </w:tcPr>
    </w:tblStylePr>
    <w:tblStylePr w:type="lastRow">
      <w:pPr>
        <w:spacing w:before="0" w:after="0" w:line="240" w:lineRule="auto"/>
      </w:pPr>
      <w:rPr>
        <w:b/>
        <w:bCs/>
        <w:color w:val="000000" w:themeColor="text1"/>
      </w:rPr>
      <w:tblPr/>
      <w:tcPr>
        <w:tcBorders>
          <w:top w:val="single" w:sz="8" w:space="0" w:color="AAAFAF" w:themeColor="background2"/>
          <w:left w:val="nil"/>
          <w:bottom w:val="single" w:sz="8" w:space="0" w:color="AAAFAF" w:themeColor="background2"/>
          <w:right w:val="nil"/>
          <w:insideH w:val="nil"/>
          <w:insideV w:val="nil"/>
          <w:tl2br w:val="nil"/>
          <w:tr2bl w:val="nil"/>
        </w:tcBorders>
        <w:shd w:val="clear" w:color="auto" w:fill="auto"/>
      </w:tcPr>
    </w:tblStylePr>
    <w:tblStylePr w:type="firstCol">
      <w:rPr>
        <w:b/>
        <w:bCs/>
        <w:color w:val="auto"/>
      </w:rPr>
      <w:tblPr/>
      <w:tcPr>
        <w:tcBorders>
          <w:top w:val="nil"/>
          <w:left w:val="nil"/>
          <w:bottom w:val="nil"/>
          <w:right w:val="nil"/>
          <w:insideH w:val="nil"/>
          <w:insideV w:val="nil"/>
          <w:tl2br w:val="nil"/>
          <w:tr2bl w:val="nil"/>
        </w:tcBorders>
        <w:shd w:val="clear" w:color="auto" w:fill="AAAFAF" w:themeFill="background2"/>
      </w:tcPr>
    </w:tblStylePr>
    <w:tblStylePr w:type="lastCol">
      <w:rPr>
        <w:b/>
        <w:bCs/>
        <w:color w:val="auto"/>
      </w:rPr>
      <w:tblPr/>
      <w:tcPr>
        <w:tcBorders>
          <w:top w:val="nil"/>
          <w:left w:val="nil"/>
          <w:bottom w:val="nil"/>
          <w:right w:val="nil"/>
          <w:insideH w:val="nil"/>
          <w:insideV w:val="nil"/>
          <w:tl2br w:val="nil"/>
          <w:tr2bl w:val="nil"/>
        </w:tcBorders>
        <w:shd w:val="clear" w:color="auto" w:fill="AAAFAF" w:themeFill="background2"/>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shd w:val="clear" w:color="auto" w:fill="auto"/>
      </w:tcPr>
    </w:tblStylePr>
    <w:tblStylePr w:type="band1Horz">
      <w:tblPr/>
      <w:tcPr>
        <w:tcBorders>
          <w:top w:val="single" w:sz="8" w:space="0" w:color="AAAFAF" w:themeColor="background2"/>
          <w:left w:val="nil"/>
          <w:bottom w:val="single" w:sz="8" w:space="0" w:color="AAAFAF" w:themeColor="background2"/>
          <w:right w:val="nil"/>
          <w:insideH w:val="nil"/>
          <w:insideV w:val="nil"/>
          <w:tl2br w:val="nil"/>
          <w:tr2bl w:val="nil"/>
        </w:tcBorders>
        <w:shd w:val="clear" w:color="auto" w:fill="auto"/>
      </w:tcPr>
    </w:tblStylePr>
    <w:tblStylePr w:type="band2Horz">
      <w:tblPr/>
      <w:tcPr>
        <w:tcBorders>
          <w:top w:val="single" w:sz="8" w:space="0" w:color="AAAFAF" w:themeColor="background2"/>
          <w:left w:val="nil"/>
          <w:bottom w:val="single" w:sz="8" w:space="0" w:color="AAAFAF" w:themeColor="background2"/>
          <w:right w:val="nil"/>
          <w:insideH w:val="nil"/>
          <w:insideV w:val="nil"/>
          <w:tl2br w:val="nil"/>
          <w:tr2bl w:val="nil"/>
        </w:tcBorders>
        <w:shd w:val="clear" w:color="auto" w:fill="auto"/>
      </w:tcPr>
    </w:tblStylePr>
  </w:style>
  <w:style w:type="table" w:styleId="MittlereSchattierung1-Akzent3">
    <w:name w:val="Medium Shading 1 Accent 3"/>
    <w:basedOn w:val="NormaleTabelle"/>
    <w:uiPriority w:val="63"/>
    <w:locked/>
    <w:rsid w:val="00600A98"/>
    <w:tblPr>
      <w:tblStyleRowBandSize w:val="1"/>
      <w:tblStyleColBandSize w:val="1"/>
      <w:tblBorders>
        <w:top w:val="single" w:sz="8" w:space="0" w:color="0FE5FF" w:themeColor="accent3" w:themeTint="BF"/>
        <w:left w:val="single" w:sz="8" w:space="0" w:color="0FE5FF" w:themeColor="accent3" w:themeTint="BF"/>
        <w:bottom w:val="single" w:sz="8" w:space="0" w:color="0FE5FF" w:themeColor="accent3" w:themeTint="BF"/>
        <w:right w:val="single" w:sz="8" w:space="0" w:color="0FE5FF" w:themeColor="accent3" w:themeTint="BF"/>
        <w:insideH w:val="single" w:sz="8" w:space="0" w:color="0FE5FF" w:themeColor="accent3" w:themeTint="BF"/>
      </w:tblBorders>
    </w:tblPr>
    <w:tblStylePr w:type="firstRow">
      <w:pPr>
        <w:spacing w:before="0" w:after="0" w:line="240" w:lineRule="auto"/>
      </w:pPr>
      <w:rPr>
        <w:b/>
        <w:bCs/>
        <w:color w:val="FFFFFF" w:themeColor="background1"/>
      </w:rPr>
      <w:tblPr/>
      <w:tcPr>
        <w:tcBorders>
          <w:top w:val="single" w:sz="8" w:space="0" w:color="0FE5FF" w:themeColor="accent3" w:themeTint="BF"/>
          <w:left w:val="single" w:sz="8" w:space="0" w:color="0FE5FF" w:themeColor="accent3" w:themeTint="BF"/>
          <w:bottom w:val="single" w:sz="8" w:space="0" w:color="0FE5FF" w:themeColor="accent3" w:themeTint="BF"/>
          <w:right w:val="single" w:sz="8" w:space="0" w:color="0FE5FF" w:themeColor="accent3" w:themeTint="BF"/>
          <w:insideH w:val="nil"/>
          <w:insideV w:val="nil"/>
        </w:tcBorders>
        <w:shd w:val="clear" w:color="auto" w:fill="00AABE" w:themeFill="accent3"/>
      </w:tcPr>
    </w:tblStylePr>
    <w:tblStylePr w:type="lastRow">
      <w:pPr>
        <w:spacing w:before="0" w:after="0" w:line="240" w:lineRule="auto"/>
      </w:pPr>
      <w:rPr>
        <w:b/>
        <w:bCs/>
      </w:rPr>
      <w:tblPr/>
      <w:tcPr>
        <w:tcBorders>
          <w:top w:val="double" w:sz="6" w:space="0" w:color="0FE5FF" w:themeColor="accent3" w:themeTint="BF"/>
          <w:left w:val="single" w:sz="8" w:space="0" w:color="0FE5FF" w:themeColor="accent3" w:themeTint="BF"/>
          <w:bottom w:val="single" w:sz="8" w:space="0" w:color="0FE5FF" w:themeColor="accent3" w:themeTint="BF"/>
          <w:right w:val="single" w:sz="8" w:space="0" w:color="0FE5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FF6FF" w:themeFill="accent3" w:themeFillTint="3F"/>
      </w:tcPr>
    </w:tblStylePr>
    <w:tblStylePr w:type="band1Horz">
      <w:tblPr/>
      <w:tcPr>
        <w:tcBorders>
          <w:insideH w:val="nil"/>
          <w:insideV w:val="nil"/>
        </w:tcBorders>
        <w:shd w:val="clear" w:color="auto" w:fill="AFF6FF" w:themeFill="accent3" w:themeFillTint="3F"/>
      </w:tcPr>
    </w:tblStylePr>
    <w:tblStylePr w:type="band2Horz">
      <w:tblPr/>
      <w:tcPr>
        <w:tcBorders>
          <w:insideH w:val="nil"/>
          <w:insideV w:val="nil"/>
        </w:tcBorders>
      </w:tcPr>
    </w:tblStylePr>
  </w:style>
  <w:style w:type="table" w:styleId="MittlereSchattierung2-Akzent4">
    <w:name w:val="Medium Shading 2 Accent 4"/>
    <w:basedOn w:val="NormaleTabelle"/>
    <w:uiPriority w:val="64"/>
    <w:locked/>
    <w:rsid w:val="00FA032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7231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72319" w:themeFill="accent4"/>
      </w:tcPr>
    </w:tblStylePr>
    <w:tblStylePr w:type="lastCol">
      <w:rPr>
        <w:b/>
        <w:bCs/>
        <w:color w:val="FFFFFF" w:themeColor="background1"/>
      </w:rPr>
      <w:tblPr/>
      <w:tcPr>
        <w:tcBorders>
          <w:left w:val="nil"/>
          <w:right w:val="nil"/>
          <w:insideH w:val="nil"/>
          <w:insideV w:val="nil"/>
        </w:tcBorders>
        <w:shd w:val="clear" w:color="auto" w:fill="D7231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Fraport2-blaublau">
    <w:name w:val="Fraport 2 - blau blau"/>
    <w:basedOn w:val="NormaleTabelle"/>
    <w:uiPriority w:val="99"/>
    <w:qFormat/>
    <w:rsid w:val="00FA0327"/>
    <w:tblPr>
      <w:tblStyleRowBandSize w:val="1"/>
      <w:tblStyleColBandSize w:val="1"/>
      <w:tblBorders>
        <w:bottom w:val="single" w:sz="8" w:space="0" w:color="000091" w:themeColor="text2"/>
      </w:tblBorders>
    </w:tblPr>
    <w:tcPr>
      <w:shd w:val="clear" w:color="auto" w:fill="auto"/>
    </w:tc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91" w:themeFill="text2"/>
      </w:tcPr>
    </w:tblStylePr>
    <w:tblStylePr w:type="lastRow">
      <w:pPr>
        <w:spacing w:before="0" w:after="0" w:line="240" w:lineRule="auto"/>
      </w:pPr>
      <w:rPr>
        <w:b/>
        <w:bCs/>
        <w:color w:val="000000" w:themeColor="text1"/>
      </w:rPr>
      <w:tblPr/>
      <w:tcPr>
        <w:tcBorders>
          <w:top w:val="single" w:sz="8" w:space="0" w:color="000091" w:themeColor="text2"/>
          <w:left w:val="nil"/>
          <w:bottom w:val="single" w:sz="8" w:space="0" w:color="000091" w:themeColor="text2"/>
          <w:right w:val="nil"/>
          <w:insideH w:val="nil"/>
          <w:insideV w:val="nil"/>
          <w:tl2br w:val="nil"/>
          <w:tr2bl w:val="nil"/>
        </w:tcBorders>
        <w:shd w:val="clear" w:color="auto" w:fill="auto"/>
      </w:tcPr>
    </w:tblStylePr>
    <w:tblStylePr w:type="firstCol">
      <w:rPr>
        <w:b/>
        <w:bCs/>
        <w:color w:val="FFFFFF" w:themeColor="background1"/>
      </w:rPr>
      <w:tblPr/>
      <w:tcPr>
        <w:tcBorders>
          <w:top w:val="nil"/>
          <w:left w:val="nil"/>
          <w:bottom w:val="nil"/>
          <w:right w:val="nil"/>
          <w:insideH w:val="nil"/>
          <w:insideV w:val="nil"/>
          <w:tl2br w:val="nil"/>
          <w:tr2bl w:val="nil"/>
        </w:tcBorders>
        <w:shd w:val="clear" w:color="auto" w:fill="000091" w:themeFill="text2"/>
      </w:tcPr>
    </w:tblStylePr>
    <w:tblStylePr w:type="lastCol">
      <w:rPr>
        <w:b/>
        <w:bCs/>
        <w:color w:val="FFFFFF" w:themeColor="background1"/>
      </w:rPr>
      <w:tblPr/>
      <w:tcPr>
        <w:tcBorders>
          <w:top w:val="nil"/>
          <w:left w:val="nil"/>
          <w:bottom w:val="nil"/>
          <w:right w:val="nil"/>
          <w:insideH w:val="nil"/>
          <w:insideV w:val="nil"/>
          <w:tl2br w:val="nil"/>
          <w:tr2bl w:val="nil"/>
        </w:tcBorders>
        <w:shd w:val="clear" w:color="auto" w:fill="000091" w:themeFill="text2"/>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B6B6FF" w:themeFill="text2" w:themeFillTint="33"/>
      </w:tcPr>
    </w:tblStylePr>
    <w:tblStylePr w:type="band2Horz">
      <w:tblPr/>
      <w:tcPr>
        <w:tcBorders>
          <w:top w:val="nil"/>
          <w:left w:val="nil"/>
          <w:bottom w:val="single" w:sz="8" w:space="0" w:color="B6B6FF" w:themeColor="text2" w:themeTint="33"/>
          <w:right w:val="nil"/>
          <w:insideH w:val="nil"/>
          <w:insideV w:val="nil"/>
          <w:tl2br w:val="nil"/>
          <w:tr2bl w:val="nil"/>
        </w:tcBorders>
        <w:shd w:val="clear" w:color="auto" w:fill="auto"/>
      </w:tcPr>
    </w:tblStylePr>
  </w:style>
  <w:style w:type="table" w:customStyle="1" w:styleId="Fraport1-Standardblau">
    <w:name w:val="Fraport 1 - Standard blau"/>
    <w:basedOn w:val="NormaleTabelle"/>
    <w:uiPriority w:val="99"/>
    <w:qFormat/>
    <w:rsid w:val="00EF36BF"/>
    <w:tblPr>
      <w:tblStyleRowBandSize w:val="1"/>
      <w:tblStyleColBandSize w:val="1"/>
      <w:tblBorders>
        <w:bottom w:val="single" w:sz="8" w:space="0" w:color="B6B6FF" w:themeColor="text2" w:themeTint="33"/>
      </w:tblBorders>
    </w:tblPr>
    <w:tcPr>
      <w:shd w:val="clear" w:color="auto" w:fill="auto"/>
    </w:tc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91" w:themeFill="text2"/>
      </w:tcPr>
    </w:tblStylePr>
    <w:tblStylePr w:type="lastRow">
      <w:pPr>
        <w:spacing w:before="0" w:after="0" w:line="240" w:lineRule="auto"/>
      </w:pPr>
      <w:rPr>
        <w:b/>
        <w:bCs/>
        <w:color w:val="000000" w:themeColor="text1"/>
      </w:rPr>
      <w:tblPr/>
      <w:tcPr>
        <w:tcBorders>
          <w:top w:val="single" w:sz="8" w:space="0" w:color="000091" w:themeColor="text2"/>
          <w:left w:val="nil"/>
          <w:bottom w:val="single" w:sz="8" w:space="0" w:color="000091" w:themeColor="text2"/>
          <w:right w:val="nil"/>
          <w:insideH w:val="nil"/>
          <w:insideV w:val="nil"/>
          <w:tl2br w:val="nil"/>
          <w:tr2bl w:val="nil"/>
        </w:tcBorders>
        <w:shd w:val="clear" w:color="auto" w:fill="auto"/>
      </w:tcPr>
    </w:tblStylePr>
    <w:tblStylePr w:type="firstCol">
      <w:rPr>
        <w:b/>
        <w:bCs/>
        <w:color w:val="FFFFFF" w:themeColor="background1"/>
      </w:rPr>
      <w:tblPr/>
      <w:tcPr>
        <w:tcBorders>
          <w:top w:val="nil"/>
          <w:left w:val="nil"/>
          <w:bottom w:val="nil"/>
          <w:right w:val="nil"/>
          <w:insideH w:val="nil"/>
          <w:insideV w:val="nil"/>
          <w:tl2br w:val="nil"/>
          <w:tr2bl w:val="nil"/>
        </w:tcBorders>
        <w:shd w:val="clear" w:color="auto" w:fill="000091" w:themeFill="text2"/>
      </w:tcPr>
    </w:tblStylePr>
    <w:tblStylePr w:type="lastCol">
      <w:rPr>
        <w:b/>
        <w:bCs/>
        <w:color w:val="FFFFFF" w:themeColor="background1"/>
      </w:rPr>
      <w:tblPr/>
      <w:tcPr>
        <w:tcBorders>
          <w:top w:val="nil"/>
          <w:left w:val="nil"/>
          <w:bottom w:val="nil"/>
          <w:right w:val="nil"/>
          <w:insideH w:val="nil"/>
          <w:insideV w:val="nil"/>
          <w:tl2br w:val="nil"/>
          <w:tr2bl w:val="nil"/>
        </w:tcBorders>
        <w:shd w:val="clear" w:color="auto" w:fill="000091" w:themeFill="text2"/>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shd w:val="clear" w:color="auto" w:fill="auto"/>
      </w:tcPr>
    </w:tblStylePr>
    <w:tblStylePr w:type="band1Horz">
      <w:tblPr/>
      <w:tcPr>
        <w:tcBorders>
          <w:top w:val="single" w:sz="8" w:space="0" w:color="000091" w:themeColor="text2"/>
          <w:left w:val="nil"/>
          <w:bottom w:val="single" w:sz="8" w:space="0" w:color="000091" w:themeColor="text2"/>
          <w:right w:val="nil"/>
          <w:insideH w:val="nil"/>
          <w:insideV w:val="nil"/>
          <w:tl2br w:val="nil"/>
          <w:tr2bl w:val="nil"/>
        </w:tcBorders>
      </w:tcPr>
    </w:tblStylePr>
    <w:tblStylePr w:type="band2Horz">
      <w:tblPr/>
      <w:tcPr>
        <w:tcBorders>
          <w:top w:val="single" w:sz="8" w:space="0" w:color="000091" w:themeColor="text2"/>
          <w:left w:val="nil"/>
          <w:bottom w:val="single" w:sz="8" w:space="0" w:color="000091" w:themeColor="text2"/>
          <w:right w:val="nil"/>
          <w:insideH w:val="nil"/>
          <w:insideV w:val="nil"/>
          <w:tl2br w:val="nil"/>
          <w:tr2bl w:val="nil"/>
        </w:tcBorders>
        <w:shd w:val="clear" w:color="auto" w:fill="auto"/>
      </w:tcPr>
    </w:tblStylePr>
  </w:style>
  <w:style w:type="table" w:customStyle="1" w:styleId="Fraport4-graugrau">
    <w:name w:val="Fraport 4 - grau grau"/>
    <w:basedOn w:val="Fraport2-blaublau"/>
    <w:uiPriority w:val="99"/>
    <w:qFormat/>
    <w:rsid w:val="00D86270"/>
    <w:tblPr>
      <w:tblBorders>
        <w:bottom w:val="single" w:sz="8" w:space="0" w:color="AAAFAF" w:themeColor="background2"/>
      </w:tblBorders>
    </w:tblPr>
    <w:tcPr>
      <w:shd w:val="clear" w:color="auto" w:fill="auto"/>
    </w:tcPr>
    <w:tblStylePr w:type="firstRow">
      <w:pPr>
        <w:spacing w:before="0" w:after="0" w:line="240" w:lineRule="auto"/>
      </w:pPr>
      <w:rPr>
        <w:b/>
        <w:bCs/>
        <w:color w:val="auto"/>
      </w:rPr>
      <w:tblPr/>
      <w:tcPr>
        <w:tcBorders>
          <w:top w:val="nil"/>
          <w:left w:val="nil"/>
          <w:bottom w:val="nil"/>
          <w:right w:val="nil"/>
          <w:insideH w:val="nil"/>
          <w:insideV w:val="nil"/>
          <w:tl2br w:val="nil"/>
          <w:tr2bl w:val="nil"/>
        </w:tcBorders>
        <w:shd w:val="clear" w:color="auto" w:fill="AAAFAF" w:themeFill="background2"/>
      </w:tcPr>
    </w:tblStylePr>
    <w:tblStylePr w:type="lastRow">
      <w:pPr>
        <w:spacing w:before="0" w:after="0" w:line="240" w:lineRule="auto"/>
      </w:pPr>
      <w:rPr>
        <w:b/>
        <w:bCs/>
        <w:color w:val="000000" w:themeColor="text1"/>
      </w:rPr>
      <w:tblPr/>
      <w:tcPr>
        <w:tcBorders>
          <w:top w:val="single" w:sz="8" w:space="0" w:color="AAAFAF" w:themeColor="background2"/>
          <w:left w:val="nil"/>
          <w:bottom w:val="single" w:sz="8" w:space="0" w:color="AAAFAF" w:themeColor="background2"/>
          <w:right w:val="nil"/>
          <w:insideH w:val="nil"/>
          <w:insideV w:val="nil"/>
          <w:tl2br w:val="nil"/>
          <w:tr2bl w:val="nil"/>
        </w:tcBorders>
        <w:shd w:val="clear" w:color="auto" w:fill="auto"/>
      </w:tcPr>
    </w:tblStylePr>
    <w:tblStylePr w:type="firstCol">
      <w:rPr>
        <w:b/>
        <w:bCs/>
        <w:color w:val="auto"/>
      </w:rPr>
      <w:tblPr/>
      <w:tcPr>
        <w:tcBorders>
          <w:top w:val="nil"/>
          <w:left w:val="nil"/>
          <w:bottom w:val="nil"/>
          <w:right w:val="nil"/>
          <w:insideH w:val="nil"/>
          <w:insideV w:val="nil"/>
          <w:tl2br w:val="nil"/>
          <w:tr2bl w:val="nil"/>
        </w:tcBorders>
        <w:shd w:val="clear" w:color="auto" w:fill="AAAFAF" w:themeFill="background2"/>
      </w:tcPr>
    </w:tblStylePr>
    <w:tblStylePr w:type="lastCol">
      <w:rPr>
        <w:b/>
        <w:bCs/>
        <w:color w:val="auto"/>
      </w:rPr>
      <w:tblPr/>
      <w:tcPr>
        <w:tcBorders>
          <w:top w:val="nil"/>
          <w:left w:val="nil"/>
          <w:bottom w:val="nil"/>
          <w:right w:val="nil"/>
          <w:insideH w:val="nil"/>
          <w:insideV w:val="nil"/>
          <w:tl2br w:val="nil"/>
          <w:tr2bl w:val="nil"/>
        </w:tcBorders>
        <w:shd w:val="clear" w:color="auto" w:fill="AAAFAF" w:themeFill="background2"/>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EEEFEF" w:themeFill="background2" w:themeFillTint="33"/>
      </w:tcPr>
    </w:tblStylePr>
    <w:tblStylePr w:type="band2Horz">
      <w:tblPr/>
      <w:tcPr>
        <w:tcBorders>
          <w:top w:val="nil"/>
          <w:left w:val="nil"/>
          <w:bottom w:val="single" w:sz="8" w:space="0" w:color="EEEFEF" w:themeColor="background2" w:themeTint="33"/>
          <w:right w:val="nil"/>
          <w:insideH w:val="nil"/>
          <w:insideV w:val="nil"/>
          <w:tl2br w:val="nil"/>
          <w:tr2bl w:val="nil"/>
        </w:tcBorders>
        <w:shd w:val="clear" w:color="auto" w:fill="auto"/>
      </w:tcPr>
    </w:tblStylePr>
  </w:style>
  <w:style w:type="table" w:styleId="MittlereSchattierung2-Akzent5">
    <w:name w:val="Medium Shading 2 Accent 5"/>
    <w:basedOn w:val="NormaleTabelle"/>
    <w:uiPriority w:val="64"/>
    <w:locked/>
    <w:rsid w:val="007E26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31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7319" w:themeFill="accent5"/>
      </w:tcPr>
    </w:tblStylePr>
    <w:tblStylePr w:type="lastCol">
      <w:rPr>
        <w:b/>
        <w:bCs/>
        <w:color w:val="FFFFFF" w:themeColor="background1"/>
      </w:rPr>
      <w:tblPr/>
      <w:tcPr>
        <w:tcBorders>
          <w:left w:val="nil"/>
          <w:right w:val="nil"/>
          <w:insideH w:val="nil"/>
          <w:insideV w:val="nil"/>
        </w:tcBorders>
        <w:shd w:val="clear" w:color="auto" w:fill="F0731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lenraster">
    <w:name w:val="Table Grid"/>
    <w:basedOn w:val="NormaleTabelle"/>
    <w:uiPriority w:val="59"/>
    <w:locked/>
    <w:rsid w:val="00D862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Fraport5-Einfach">
    <w:name w:val="Fraport 5 - Einfach"/>
    <w:basedOn w:val="NormaleTabelle"/>
    <w:uiPriority w:val="99"/>
    <w:qFormat/>
    <w:rsid w:val="00D86270"/>
    <w:tblPr>
      <w:tblBorders>
        <w:top w:val="single" w:sz="4" w:space="0" w:color="000000" w:themeColor="text1"/>
        <w:bottom w:val="single" w:sz="4" w:space="0" w:color="000000" w:themeColor="text1"/>
        <w:insideH w:val="single" w:sz="4" w:space="0" w:color="000000" w:themeColor="text1"/>
      </w:tblBorders>
    </w:tblPr>
    <w:tblStylePr w:type="firstRow">
      <w:rPr>
        <w:b/>
        <w:i w:val="0"/>
        <w:color w:val="auto"/>
      </w:rPr>
    </w:tblStylePr>
    <w:tblStylePr w:type="lastRow">
      <w:rPr>
        <w:b/>
        <w:i w:val="0"/>
        <w:color w:val="auto"/>
      </w:rPr>
    </w:tblStylePr>
    <w:tblStylePr w:type="firstCol">
      <w:rPr>
        <w:b/>
        <w:i w:val="0"/>
        <w:color w:val="auto"/>
      </w:rPr>
    </w:tblStylePr>
    <w:tblStylePr w:type="lastCol">
      <w:rPr>
        <w:b/>
        <w:i w:val="0"/>
        <w:color w:val="auto"/>
      </w:rPr>
    </w:tblStylePr>
  </w:style>
  <w:style w:type="paragraph" w:styleId="Kopfzeile">
    <w:name w:val="header"/>
    <w:basedOn w:val="Standard"/>
    <w:link w:val="KopfzeileZchn"/>
    <w:uiPriority w:val="99"/>
    <w:unhideWhenUsed/>
    <w:rsid w:val="0006750E"/>
    <w:pPr>
      <w:tabs>
        <w:tab w:val="center" w:pos="4536"/>
        <w:tab w:val="right" w:pos="9072"/>
      </w:tabs>
    </w:pPr>
  </w:style>
  <w:style w:type="character" w:customStyle="1" w:styleId="KopfzeileZchn">
    <w:name w:val="Kopfzeile Zchn"/>
    <w:basedOn w:val="Absatz-Standardschriftart"/>
    <w:link w:val="Kopfzeile"/>
    <w:uiPriority w:val="99"/>
    <w:rsid w:val="00372A05"/>
  </w:style>
  <w:style w:type="paragraph" w:styleId="Fuzeile">
    <w:name w:val="footer"/>
    <w:basedOn w:val="Standard"/>
    <w:link w:val="FuzeileZchn"/>
    <w:uiPriority w:val="99"/>
    <w:unhideWhenUsed/>
    <w:rsid w:val="0006750E"/>
    <w:pPr>
      <w:tabs>
        <w:tab w:val="center" w:pos="4536"/>
        <w:tab w:val="right" w:pos="9072"/>
      </w:tabs>
    </w:pPr>
  </w:style>
  <w:style w:type="character" w:customStyle="1" w:styleId="FuzeileZchn">
    <w:name w:val="Fußzeile Zchn"/>
    <w:basedOn w:val="Absatz-Standardschriftart"/>
    <w:link w:val="Fuzeile"/>
    <w:uiPriority w:val="99"/>
    <w:rsid w:val="00372A05"/>
  </w:style>
  <w:style w:type="paragraph" w:styleId="Sprechblasentext">
    <w:name w:val="Balloon Text"/>
    <w:basedOn w:val="Standard"/>
    <w:link w:val="SprechblasentextZchn"/>
    <w:uiPriority w:val="99"/>
    <w:semiHidden/>
    <w:unhideWhenUsed/>
    <w:rsid w:val="000675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750E"/>
    <w:rPr>
      <w:rFonts w:ascii="Tahoma" w:hAnsi="Tahoma" w:cs="Tahoma"/>
      <w:sz w:val="16"/>
      <w:szCs w:val="16"/>
    </w:rPr>
  </w:style>
  <w:style w:type="paragraph" w:styleId="Beschriftung">
    <w:name w:val="caption"/>
    <w:basedOn w:val="Standard"/>
    <w:next w:val="Standard"/>
    <w:uiPriority w:val="19"/>
    <w:semiHidden/>
    <w:unhideWhenUsed/>
    <w:qFormat/>
    <w:rsid w:val="008E7462"/>
    <w:pPr>
      <w:spacing w:after="200"/>
    </w:pPr>
    <w:rPr>
      <w:bCs/>
      <w:color w:val="auto"/>
      <w:szCs w:val="18"/>
    </w:rPr>
  </w:style>
  <w:style w:type="paragraph" w:styleId="Inhaltsverzeichnisberschrift">
    <w:name w:val="TOC Heading"/>
    <w:basedOn w:val="berschrift1"/>
    <w:next w:val="Standard"/>
    <w:uiPriority w:val="39"/>
    <w:semiHidden/>
    <w:unhideWhenUsed/>
    <w:qFormat/>
    <w:rsid w:val="00F1661B"/>
    <w:pPr>
      <w:keepLines/>
      <w:numPr>
        <w:numId w:val="0"/>
      </w:numPr>
      <w:spacing w:before="480" w:after="0" w:line="276" w:lineRule="auto"/>
      <w:outlineLvl w:val="9"/>
    </w:pPr>
    <w:rPr>
      <w:rFonts w:asciiTheme="majorHAnsi" w:eastAsiaTheme="majorEastAsia" w:hAnsiTheme="majorHAnsi" w:cstheme="majorBidi"/>
      <w:bCs/>
      <w:color w:val="000091" w:themeColor="text2"/>
      <w:szCs w:val="28"/>
      <w:lang w:eastAsia="en-US"/>
    </w:rPr>
  </w:style>
  <w:style w:type="paragraph" w:styleId="Verzeichnis1">
    <w:name w:val="toc 1"/>
    <w:basedOn w:val="Standard"/>
    <w:next w:val="Standard"/>
    <w:uiPriority w:val="39"/>
    <w:semiHidden/>
    <w:unhideWhenUsed/>
    <w:rsid w:val="00F1661B"/>
    <w:pPr>
      <w:spacing w:after="100"/>
    </w:pPr>
  </w:style>
  <w:style w:type="character" w:styleId="Hyperlink">
    <w:name w:val="Hyperlink"/>
    <w:basedOn w:val="Absatz-Standardschriftart"/>
    <w:uiPriority w:val="99"/>
    <w:semiHidden/>
    <w:rsid w:val="005C4F43"/>
    <w:rPr>
      <w:rFonts w:ascii="Arial" w:hAnsi="Arial"/>
      <w:color w:val="auto"/>
      <w:u w:val="single"/>
    </w:rPr>
  </w:style>
  <w:style w:type="character" w:styleId="IntensiveHervorhebung">
    <w:name w:val="Intense Emphasis"/>
    <w:basedOn w:val="Absatz-Standardschriftart"/>
    <w:uiPriority w:val="21"/>
    <w:semiHidden/>
    <w:unhideWhenUsed/>
    <w:rsid w:val="00F1661B"/>
    <w:rPr>
      <w:b/>
      <w:bCs/>
      <w:i/>
      <w:iCs/>
      <w:color w:val="000091" w:themeColor="text2"/>
    </w:rPr>
  </w:style>
  <w:style w:type="paragraph" w:styleId="Verzeichnis2">
    <w:name w:val="toc 2"/>
    <w:basedOn w:val="Standard"/>
    <w:next w:val="Standard"/>
    <w:uiPriority w:val="39"/>
    <w:semiHidden/>
    <w:unhideWhenUsed/>
    <w:rsid w:val="00372A05"/>
    <w:pPr>
      <w:spacing w:after="100"/>
      <w:ind w:left="200"/>
    </w:pPr>
  </w:style>
  <w:style w:type="paragraph" w:styleId="Verzeichnis3">
    <w:name w:val="toc 3"/>
    <w:basedOn w:val="Standard"/>
    <w:next w:val="Standard"/>
    <w:uiPriority w:val="39"/>
    <w:semiHidden/>
    <w:unhideWhenUsed/>
    <w:rsid w:val="00372A05"/>
    <w:pPr>
      <w:spacing w:after="100"/>
      <w:ind w:left="400"/>
    </w:pPr>
  </w:style>
  <w:style w:type="paragraph" w:styleId="Verzeichnis4">
    <w:name w:val="toc 4"/>
    <w:basedOn w:val="Standard"/>
    <w:next w:val="Standard"/>
    <w:uiPriority w:val="39"/>
    <w:semiHidden/>
    <w:unhideWhenUsed/>
    <w:rsid w:val="00372A05"/>
    <w:pPr>
      <w:spacing w:after="100"/>
      <w:ind w:left="600"/>
    </w:pPr>
  </w:style>
  <w:style w:type="paragraph" w:styleId="Verzeichnis5">
    <w:name w:val="toc 5"/>
    <w:basedOn w:val="Standard"/>
    <w:next w:val="Standard"/>
    <w:uiPriority w:val="39"/>
    <w:semiHidden/>
    <w:unhideWhenUsed/>
    <w:rsid w:val="00372A05"/>
    <w:pPr>
      <w:spacing w:after="100"/>
      <w:ind w:left="800"/>
    </w:pPr>
  </w:style>
  <w:style w:type="paragraph" w:styleId="Verzeichnis6">
    <w:name w:val="toc 6"/>
    <w:basedOn w:val="Standard"/>
    <w:next w:val="Standard"/>
    <w:uiPriority w:val="39"/>
    <w:semiHidden/>
    <w:unhideWhenUsed/>
    <w:rsid w:val="00372A05"/>
    <w:pPr>
      <w:spacing w:after="100"/>
      <w:ind w:left="1000"/>
    </w:pPr>
  </w:style>
  <w:style w:type="paragraph" w:styleId="Verzeichnis7">
    <w:name w:val="toc 7"/>
    <w:basedOn w:val="Standard"/>
    <w:next w:val="Standard"/>
    <w:uiPriority w:val="39"/>
    <w:semiHidden/>
    <w:unhideWhenUsed/>
    <w:rsid w:val="00372A05"/>
    <w:pPr>
      <w:spacing w:after="100"/>
      <w:ind w:left="1200"/>
    </w:pPr>
  </w:style>
  <w:style w:type="paragraph" w:styleId="Verzeichnis8">
    <w:name w:val="toc 8"/>
    <w:basedOn w:val="Standard"/>
    <w:next w:val="Standard"/>
    <w:uiPriority w:val="39"/>
    <w:semiHidden/>
    <w:unhideWhenUsed/>
    <w:rsid w:val="00372A05"/>
    <w:pPr>
      <w:spacing w:after="100"/>
      <w:ind w:left="1400"/>
    </w:pPr>
  </w:style>
  <w:style w:type="paragraph" w:styleId="Verzeichnis9">
    <w:name w:val="toc 9"/>
    <w:basedOn w:val="Standard"/>
    <w:next w:val="Standard"/>
    <w:uiPriority w:val="39"/>
    <w:semiHidden/>
    <w:unhideWhenUsed/>
    <w:rsid w:val="00372A05"/>
    <w:pPr>
      <w:spacing w:after="100"/>
      <w:ind w:left="1600"/>
    </w:pPr>
  </w:style>
  <w:style w:type="paragraph" w:styleId="Listenabsatz">
    <w:name w:val="List Paragraph"/>
    <w:basedOn w:val="Standard"/>
    <w:uiPriority w:val="34"/>
    <w:semiHidden/>
    <w:rsid w:val="00476780"/>
    <w:pPr>
      <w:ind w:left="720"/>
      <w:contextualSpacing/>
    </w:pPr>
  </w:style>
  <w:style w:type="character" w:styleId="BesuchterHyperlink">
    <w:name w:val="FollowedHyperlink"/>
    <w:basedOn w:val="Absatz-Standardschriftart"/>
    <w:uiPriority w:val="99"/>
    <w:semiHidden/>
    <w:unhideWhenUsed/>
    <w:rsid w:val="00DD40DC"/>
    <w:rPr>
      <w:color w:val="F2F2F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cs.wfs.aero/en/service/downloads-and-informatio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cs.wfs.ae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cs.wfs.aero" TargetMode="External"/><Relationship Id="rId4" Type="http://schemas.openxmlformats.org/officeDocument/2006/relationships/settings" Target="settings.xml"/><Relationship Id="rId9" Type="http://schemas.openxmlformats.org/officeDocument/2006/relationships/hyperlink" Target="mailto:info@fcs.wfs.ae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20A%20L%20F\00%20-%20Vorlagen\FCS%20Blanko.dotx" TargetMode="External"/></Relationships>
</file>

<file path=word/theme/theme1.xml><?xml version="1.0" encoding="utf-8"?>
<a:theme xmlns:a="http://schemas.openxmlformats.org/drawingml/2006/main" name="Larissa-Design">
  <a:themeElements>
    <a:clrScheme name="Fraport">
      <a:dk1>
        <a:sysClr val="windowText" lastClr="000000"/>
      </a:dk1>
      <a:lt1>
        <a:sysClr val="window" lastClr="FFFFFF"/>
      </a:lt1>
      <a:dk2>
        <a:srgbClr val="000091"/>
      </a:dk2>
      <a:lt2>
        <a:srgbClr val="AAAFAF"/>
      </a:lt2>
      <a:accent1>
        <a:srgbClr val="82AF32"/>
      </a:accent1>
      <a:accent2>
        <a:srgbClr val="FFC819"/>
      </a:accent2>
      <a:accent3>
        <a:srgbClr val="00AABE"/>
      </a:accent3>
      <a:accent4>
        <a:srgbClr val="D72319"/>
      </a:accent4>
      <a:accent5>
        <a:srgbClr val="F07319"/>
      </a:accent5>
      <a:accent6>
        <a:srgbClr val="782D8C"/>
      </a:accent6>
      <a:hlink>
        <a:srgbClr val="FFFFFF"/>
      </a:hlink>
      <a:folHlink>
        <a:srgbClr val="F2F2F2"/>
      </a:folHlink>
    </a:clrScheme>
    <a:fontScheme name="Fraport 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331DB-4D87-48D9-A098-8B3BAF05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FCS Blanko.dotx</Template>
  <TotalTime>0</TotalTime>
  <Pages>4</Pages>
  <Words>2683</Words>
  <Characters>16906</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Templates - Normal.dotm</vt:lpstr>
    </vt:vector>
  </TitlesOfParts>
  <Company>Fraport AG</Company>
  <LinksUpToDate>false</LinksUpToDate>
  <CharactersWithSpaces>19550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 Normal.dotm</dc:title>
  <dc:subject/>
  <dc:creator>Fraport AG</dc:creator>
  <cp:keywords/>
  <dc:description/>
  <cp:lastModifiedBy>FCS-VM (AS)</cp:lastModifiedBy>
  <cp:revision>2</cp:revision>
  <cp:lastPrinted>2016-03-16T06:57:00Z</cp:lastPrinted>
  <dcterms:created xsi:type="dcterms:W3CDTF">2017-03-07T14:48:00Z</dcterms:created>
  <dcterms:modified xsi:type="dcterms:W3CDTF">2017-03-07T14:48:00Z</dcterms:modified>
</cp:coreProperties>
</file>